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82C3" w14:textId="77777777" w:rsidR="00D33F25" w:rsidRDefault="00187099">
      <w:r>
        <w:rPr>
          <w:noProof/>
          <w:color w:val="000080"/>
          <w:sz w:val="16"/>
        </w:rPr>
        <mc:AlternateContent>
          <mc:Choice Requires="wps">
            <w:drawing>
              <wp:anchor distT="0" distB="0" distL="114300" distR="114300" simplePos="0" relativeHeight="251659264" behindDoc="0" locked="0" layoutInCell="1" allowOverlap="1" wp14:anchorId="08F8005A" wp14:editId="2D32247C">
                <wp:simplePos x="0" y="0"/>
                <wp:positionH relativeFrom="column">
                  <wp:posOffset>3028950</wp:posOffset>
                </wp:positionH>
                <wp:positionV relativeFrom="paragraph">
                  <wp:posOffset>-171450</wp:posOffset>
                </wp:positionV>
                <wp:extent cx="3362325" cy="762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EB5F2" w14:textId="77777777" w:rsidR="00927588" w:rsidRPr="00927588" w:rsidRDefault="00927588" w:rsidP="00187099">
                            <w:pPr>
                              <w:spacing w:after="0"/>
                              <w:jc w:val="right"/>
                              <w:rPr>
                                <w:b/>
                                <w:sz w:val="16"/>
                                <w:szCs w:val="16"/>
                              </w:rPr>
                            </w:pPr>
                          </w:p>
                          <w:p w14:paraId="1786C0C9" w14:textId="77777777" w:rsidR="00D11106" w:rsidRDefault="00D11106" w:rsidP="00187099">
                            <w:pPr>
                              <w:spacing w:after="0"/>
                              <w:jc w:val="right"/>
                              <w:rPr>
                                <w:b/>
                                <w:sz w:val="32"/>
                                <w:szCs w:val="32"/>
                              </w:rPr>
                            </w:pPr>
                            <w:r>
                              <w:rPr>
                                <w:b/>
                                <w:sz w:val="32"/>
                                <w:szCs w:val="32"/>
                              </w:rPr>
                              <w:t xml:space="preserve">First-Time </w:t>
                            </w:r>
                            <w:r w:rsidRPr="00187099">
                              <w:rPr>
                                <w:b/>
                                <w:sz w:val="32"/>
                                <w:szCs w:val="32"/>
                              </w:rPr>
                              <w:t>Home</w:t>
                            </w:r>
                            <w:r w:rsidR="005B1FA6">
                              <w:rPr>
                                <w:b/>
                                <w:sz w:val="32"/>
                                <w:szCs w:val="32"/>
                              </w:rPr>
                              <w:t>buyer</w:t>
                            </w:r>
                            <w:r w:rsidRPr="00187099">
                              <w:rPr>
                                <w:b/>
                                <w:sz w:val="32"/>
                                <w:szCs w:val="32"/>
                              </w:rPr>
                              <w:t xml:space="preserve"> Program</w:t>
                            </w:r>
                          </w:p>
                          <w:p w14:paraId="279E9784" w14:textId="4404E02F" w:rsidR="00D11106" w:rsidRPr="00204A03" w:rsidRDefault="00D11106" w:rsidP="00187099">
                            <w:pPr>
                              <w:spacing w:after="0"/>
                              <w:jc w:val="right"/>
                              <w:rPr>
                                <w:sz w:val="20"/>
                                <w:szCs w:val="20"/>
                              </w:rPr>
                            </w:pPr>
                            <w:r w:rsidRPr="00204A03">
                              <w:rPr>
                                <w:sz w:val="20"/>
                                <w:szCs w:val="20"/>
                              </w:rPr>
                              <w:t xml:space="preserve">Guidelines </w:t>
                            </w:r>
                            <w:r w:rsidR="001B4648">
                              <w:rPr>
                                <w:sz w:val="20"/>
                                <w:szCs w:val="20"/>
                              </w:rPr>
                              <w:t xml:space="preserve">Updated </w:t>
                            </w:r>
                            <w:r w:rsidR="0018473A">
                              <w:rPr>
                                <w:sz w:val="20"/>
                                <w:szCs w:val="20"/>
                              </w:rPr>
                              <w:t>June 2021</w:t>
                            </w:r>
                          </w:p>
                          <w:p w14:paraId="0A277B26" w14:textId="77777777" w:rsidR="00D11106" w:rsidRDefault="00D11106" w:rsidP="0018709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8005A" id="_x0000_t202" coordsize="21600,21600" o:spt="202" path="m,l,21600r21600,l21600,xe">
                <v:stroke joinstyle="miter"/>
                <v:path gradientshapeok="t" o:connecttype="rect"/>
              </v:shapetype>
              <v:shape id="Text Box 2" o:spid="_x0000_s1026" type="#_x0000_t202" style="position:absolute;margin-left:238.5pt;margin-top:-13.5pt;width:264.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" fillcolor="white [3201]" stroked="f" strokeweight=".5pt">
                <v:textbox>
                  <w:txbxContent>
                    <w:p w14:paraId="26AEB5F2" w14:textId="77777777" w:rsidR="00927588" w:rsidRPr="00927588" w:rsidRDefault="00927588" w:rsidP="00187099">
                      <w:pPr>
                        <w:spacing w:after="0"/>
                        <w:jc w:val="right"/>
                        <w:rPr>
                          <w:b/>
                          <w:sz w:val="16"/>
                          <w:szCs w:val="16"/>
                        </w:rPr>
                      </w:pPr>
                    </w:p>
                    <w:p w14:paraId="1786C0C9" w14:textId="77777777" w:rsidR="00D11106" w:rsidRDefault="00D11106" w:rsidP="00187099">
                      <w:pPr>
                        <w:spacing w:after="0"/>
                        <w:jc w:val="right"/>
                        <w:rPr>
                          <w:b/>
                          <w:sz w:val="32"/>
                          <w:szCs w:val="32"/>
                        </w:rPr>
                      </w:pPr>
                      <w:r>
                        <w:rPr>
                          <w:b/>
                          <w:sz w:val="32"/>
                          <w:szCs w:val="32"/>
                        </w:rPr>
                        <w:t xml:space="preserve">First-Time </w:t>
                      </w:r>
                      <w:r w:rsidRPr="00187099">
                        <w:rPr>
                          <w:b/>
                          <w:sz w:val="32"/>
                          <w:szCs w:val="32"/>
                        </w:rPr>
                        <w:t>Home</w:t>
                      </w:r>
                      <w:r w:rsidR="005B1FA6">
                        <w:rPr>
                          <w:b/>
                          <w:sz w:val="32"/>
                          <w:szCs w:val="32"/>
                        </w:rPr>
                        <w:t>buyer</w:t>
                      </w:r>
                      <w:r w:rsidRPr="00187099">
                        <w:rPr>
                          <w:b/>
                          <w:sz w:val="32"/>
                          <w:szCs w:val="32"/>
                        </w:rPr>
                        <w:t xml:space="preserve"> Program</w:t>
                      </w:r>
                    </w:p>
                    <w:p w14:paraId="279E9784" w14:textId="4404E02F" w:rsidR="00D11106" w:rsidRPr="00204A03" w:rsidRDefault="00D11106" w:rsidP="00187099">
                      <w:pPr>
                        <w:spacing w:after="0"/>
                        <w:jc w:val="right"/>
                        <w:rPr>
                          <w:sz w:val="20"/>
                          <w:szCs w:val="20"/>
                        </w:rPr>
                      </w:pPr>
                      <w:r w:rsidRPr="00204A03">
                        <w:rPr>
                          <w:sz w:val="20"/>
                          <w:szCs w:val="20"/>
                        </w:rPr>
                        <w:t xml:space="preserve">Guidelines </w:t>
                      </w:r>
                      <w:r w:rsidR="001B4648">
                        <w:rPr>
                          <w:sz w:val="20"/>
                          <w:szCs w:val="20"/>
                        </w:rPr>
                        <w:t xml:space="preserve">Updated </w:t>
                      </w:r>
                      <w:r w:rsidR="0018473A">
                        <w:rPr>
                          <w:sz w:val="20"/>
                          <w:szCs w:val="20"/>
                        </w:rPr>
                        <w:t>June 2021</w:t>
                      </w:r>
                    </w:p>
                    <w:p w14:paraId="0A277B26" w14:textId="77777777" w:rsidR="00D11106" w:rsidRDefault="00D11106" w:rsidP="00187099">
                      <w:pPr>
                        <w:jc w:val="right"/>
                      </w:pPr>
                    </w:p>
                  </w:txbxContent>
                </v:textbox>
              </v:shape>
            </w:pict>
          </mc:Fallback>
        </mc:AlternateContent>
      </w:r>
      <w:r w:rsidR="00927588">
        <w:rPr>
          <w:noProof/>
        </w:rPr>
        <w:drawing>
          <wp:inline distT="0" distB="0" distL="0" distR="0" wp14:anchorId="77AE6DD4" wp14:editId="79B85479">
            <wp:extent cx="2843003"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265" cy="555333"/>
                    </a:xfrm>
                    <a:prstGeom prst="rect">
                      <a:avLst/>
                    </a:prstGeom>
                    <a:noFill/>
                  </pic:spPr>
                </pic:pic>
              </a:graphicData>
            </a:graphic>
          </wp:inline>
        </w:drawing>
      </w:r>
    </w:p>
    <w:p w14:paraId="46332FAE" w14:textId="77777777" w:rsidR="00187099" w:rsidRDefault="00187099"/>
    <w:p w14:paraId="34B912EF" w14:textId="77777777" w:rsidR="00187099" w:rsidRPr="00E53C29" w:rsidRDefault="00E53C29">
      <w:pPr>
        <w:rPr>
          <w:b/>
          <w:sz w:val="28"/>
          <w:szCs w:val="28"/>
        </w:rPr>
      </w:pPr>
      <w:r w:rsidRPr="00E53C29">
        <w:rPr>
          <w:b/>
          <w:sz w:val="28"/>
          <w:szCs w:val="28"/>
        </w:rPr>
        <w:t xml:space="preserve">What is the </w:t>
      </w:r>
      <w:r w:rsidR="00E454D4">
        <w:rPr>
          <w:b/>
          <w:sz w:val="28"/>
          <w:szCs w:val="28"/>
        </w:rPr>
        <w:t xml:space="preserve">First-time </w:t>
      </w:r>
      <w:r w:rsidRPr="00E53C29">
        <w:rPr>
          <w:b/>
          <w:sz w:val="28"/>
          <w:szCs w:val="28"/>
        </w:rPr>
        <w:t>Home</w:t>
      </w:r>
      <w:r w:rsidR="005B1FA6">
        <w:rPr>
          <w:b/>
          <w:sz w:val="28"/>
          <w:szCs w:val="28"/>
        </w:rPr>
        <w:t>buyer</w:t>
      </w:r>
      <w:r w:rsidRPr="00E53C29">
        <w:rPr>
          <w:b/>
          <w:sz w:val="28"/>
          <w:szCs w:val="28"/>
        </w:rPr>
        <w:t xml:space="preserve"> Program?</w:t>
      </w:r>
    </w:p>
    <w:p w14:paraId="3B1823CE" w14:textId="4D43CF96" w:rsidR="00E53C29" w:rsidRDefault="00E53C29" w:rsidP="00E454D4">
      <w:pPr>
        <w:spacing w:after="0" w:line="240" w:lineRule="auto"/>
        <w:jc w:val="both"/>
      </w:pPr>
      <w:r>
        <w:t xml:space="preserve">The City’s </w:t>
      </w:r>
      <w:r w:rsidR="00E454D4">
        <w:t xml:space="preserve">First-time </w:t>
      </w:r>
      <w:r>
        <w:t>Home</w:t>
      </w:r>
      <w:r w:rsidR="005B1FA6">
        <w:t>buyer</w:t>
      </w:r>
      <w:r>
        <w:t xml:space="preserve"> </w:t>
      </w:r>
      <w:r w:rsidR="00846535">
        <w:t>Program provides very-low</w:t>
      </w:r>
      <w:r w:rsidR="0018473A">
        <w:t>-</w:t>
      </w:r>
      <w:r w:rsidR="00846535">
        <w:t xml:space="preserve"> low- and moderate-</w:t>
      </w:r>
      <w:r>
        <w:t xml:space="preserve">income Miami Beach </w:t>
      </w:r>
      <w:r w:rsidR="00E454D4">
        <w:t xml:space="preserve">residents </w:t>
      </w:r>
      <w:r>
        <w:t xml:space="preserve">with </w:t>
      </w:r>
      <w:r w:rsidR="00E454D4">
        <w:t>down payment</w:t>
      </w:r>
      <w:r>
        <w:t xml:space="preserve"> </w:t>
      </w:r>
      <w:r w:rsidR="0018473A">
        <w:t xml:space="preserve">and rehabilitation </w:t>
      </w:r>
      <w:r>
        <w:t xml:space="preserve">assistance to </w:t>
      </w:r>
      <w:r w:rsidR="00E454D4">
        <w:t>purchase their first home.</w:t>
      </w:r>
    </w:p>
    <w:p w14:paraId="28226C88" w14:textId="77777777" w:rsidR="00E454D4" w:rsidRDefault="00E454D4" w:rsidP="00E454D4">
      <w:pPr>
        <w:spacing w:after="0" w:line="240" w:lineRule="auto"/>
        <w:jc w:val="both"/>
      </w:pPr>
    </w:p>
    <w:p w14:paraId="4BAA56F3" w14:textId="77777777" w:rsidR="005C5E39" w:rsidRDefault="005C5E39" w:rsidP="007577FF">
      <w:pPr>
        <w:jc w:val="both"/>
      </w:pPr>
      <w:r>
        <w:t xml:space="preserve">The funds awarded to eligible </w:t>
      </w:r>
      <w:r w:rsidR="00E454D4">
        <w:t>resident</w:t>
      </w:r>
      <w:r>
        <w:t xml:space="preserve">s are secured by a </w:t>
      </w:r>
      <w:r w:rsidR="00846535">
        <w:t xml:space="preserve">lien and </w:t>
      </w:r>
      <w:r>
        <w:t xml:space="preserve">restrictive covenant </w:t>
      </w:r>
      <w:r w:rsidR="00297ADF">
        <w:t xml:space="preserve">securing the City’s funds </w:t>
      </w:r>
      <w:r>
        <w:t xml:space="preserve">that </w:t>
      </w:r>
      <w:r w:rsidR="00297ADF">
        <w:t xml:space="preserve">are subsequently </w:t>
      </w:r>
      <w:r>
        <w:t xml:space="preserve">forgiven after </w:t>
      </w:r>
      <w:r w:rsidR="001B4648">
        <w:t>fifteen (</w:t>
      </w:r>
      <w:r>
        <w:t>15</w:t>
      </w:r>
      <w:r w:rsidR="001B4648">
        <w:t>)</w:t>
      </w:r>
      <w:r>
        <w:t xml:space="preserve"> years. If a homeowner sells</w:t>
      </w:r>
      <w:r w:rsidR="00846535">
        <w:t>, rents, or refinances</w:t>
      </w:r>
      <w:r>
        <w:t xml:space="preserve"> his/her property</w:t>
      </w:r>
      <w:r w:rsidR="00846535">
        <w:t xml:space="preserve"> or the property is no longer the primary residence</w:t>
      </w:r>
      <w:r>
        <w:t xml:space="preserve"> prior to the 15-year affordability period, he/she must repay the City the value of the </w:t>
      </w:r>
      <w:r w:rsidR="00297ADF">
        <w:t>assistance</w:t>
      </w:r>
      <w:r>
        <w:t xml:space="preserve"> as defined in the City’s </w:t>
      </w:r>
      <w:r w:rsidRPr="00297ADF">
        <w:rPr>
          <w:i/>
        </w:rPr>
        <w:t>Local Housing Assistance Plan</w:t>
      </w:r>
      <w:r>
        <w:t xml:space="preserve"> (LHAP)</w:t>
      </w:r>
      <w:r w:rsidR="00E454D4">
        <w:t xml:space="preserve"> plus applicable profit sharing as noted in the Plan</w:t>
      </w:r>
      <w:r>
        <w:t xml:space="preserve">. A copy of the plan is provided online at the City’s website: </w:t>
      </w:r>
      <w:hyperlink r:id="rId8" w:history="1">
        <w:r w:rsidRPr="008A1A41">
          <w:rPr>
            <w:rStyle w:val="Hyperlink"/>
          </w:rPr>
          <w:t>www.miamibeachfl.gov</w:t>
        </w:r>
      </w:hyperlink>
      <w:r>
        <w:t xml:space="preserve"> </w:t>
      </w:r>
    </w:p>
    <w:p w14:paraId="60D6954C" w14:textId="77777777" w:rsidR="00E53C29" w:rsidRPr="007577FF" w:rsidRDefault="00E53C29">
      <w:pPr>
        <w:rPr>
          <w:b/>
          <w:sz w:val="28"/>
          <w:szCs w:val="28"/>
        </w:rPr>
      </w:pPr>
      <w:r w:rsidRPr="007577FF">
        <w:rPr>
          <w:b/>
          <w:sz w:val="28"/>
          <w:szCs w:val="28"/>
        </w:rPr>
        <w:t>Who is eligible for this program?</w:t>
      </w:r>
    </w:p>
    <w:p w14:paraId="232A6977" w14:textId="6AA2C9E1" w:rsidR="00D11106" w:rsidRDefault="00F22FE9" w:rsidP="001E75A9">
      <w:pPr>
        <w:jc w:val="both"/>
      </w:pPr>
      <w:r>
        <w:t xml:space="preserve">The City utilizes State Housing Initiatives </w:t>
      </w:r>
      <w:r w:rsidR="00846535">
        <w:t xml:space="preserve">Partnership </w:t>
      </w:r>
      <w:r>
        <w:t xml:space="preserve">Program (SHIP) funds </w:t>
      </w:r>
      <w:r w:rsidR="003626DC">
        <w:t xml:space="preserve">and HOME Investment Partnership Program (HOME) </w:t>
      </w:r>
      <w:r w:rsidR="0018473A">
        <w:t xml:space="preserve">funds to operate </w:t>
      </w:r>
      <w:r>
        <w:t xml:space="preserve">its </w:t>
      </w:r>
      <w:r w:rsidR="00E454D4">
        <w:t xml:space="preserve">First-time Homeowner </w:t>
      </w:r>
      <w:r>
        <w:t xml:space="preserve">Program. </w:t>
      </w:r>
      <w:r w:rsidR="00D11106">
        <w:t xml:space="preserve">The program provides down payment assistance to </w:t>
      </w:r>
      <w:r w:rsidR="00987E8D">
        <w:t>income-</w:t>
      </w:r>
      <w:r w:rsidR="00D11106">
        <w:t>eligible residents who have never owned their own home</w:t>
      </w:r>
      <w:r w:rsidR="0018473A">
        <w:t xml:space="preserve"> in the previous three (3) years.</w:t>
      </w:r>
      <w:r w:rsidR="00D11106">
        <w:t xml:space="preserve"> Eligible program participants must:</w:t>
      </w:r>
    </w:p>
    <w:p w14:paraId="2D1CC071" w14:textId="2D61BF65" w:rsidR="00D11106" w:rsidRDefault="00D11106" w:rsidP="00D11106">
      <w:pPr>
        <w:pStyle w:val="ListParagraph"/>
        <w:numPr>
          <w:ilvl w:val="0"/>
          <w:numId w:val="2"/>
        </w:numPr>
        <w:jc w:val="both"/>
      </w:pPr>
      <w:r>
        <w:t>Complete a First-time Homebuyers Training</w:t>
      </w:r>
      <w:r w:rsidR="006C7670">
        <w:t xml:space="preserve"> from a HUD-certified housing cou</w:t>
      </w:r>
      <w:r w:rsidR="00F6273E">
        <w:t>n</w:t>
      </w:r>
      <w:r w:rsidR="006C7670">
        <w:t>selor</w:t>
      </w:r>
      <w:r w:rsidR="00204A03">
        <w:t xml:space="preserve"> within six (6) months prior to application to the City</w:t>
      </w:r>
      <w:r w:rsidR="00C737D0">
        <w:t>’s program</w:t>
      </w:r>
      <w:r w:rsidR="0018473A">
        <w:t xml:space="preserve"> and provide valid certificate of completion</w:t>
      </w:r>
      <w:r w:rsidR="00C737D0">
        <w:t>.</w:t>
      </w:r>
    </w:p>
    <w:p w14:paraId="430F6A18" w14:textId="573FCAE5" w:rsidR="00D11106" w:rsidRDefault="00D11106" w:rsidP="00D11106">
      <w:pPr>
        <w:pStyle w:val="ListParagraph"/>
        <w:numPr>
          <w:ilvl w:val="0"/>
          <w:numId w:val="2"/>
        </w:numPr>
        <w:jc w:val="both"/>
      </w:pPr>
      <w:r>
        <w:t xml:space="preserve">Provide a minimum of two (2) percent of the target property’s value in </w:t>
      </w:r>
      <w:r w:rsidR="00204A03">
        <w:t xml:space="preserve">their own funds as down payment. These funds </w:t>
      </w:r>
      <w:r w:rsidR="00927588">
        <w:t xml:space="preserve">must </w:t>
      </w:r>
      <w:r w:rsidR="00204A03">
        <w:t xml:space="preserve">be </w:t>
      </w:r>
      <w:r w:rsidR="00987E8D">
        <w:t>independently documented</w:t>
      </w:r>
      <w:r w:rsidR="00C737D0">
        <w:t>.</w:t>
      </w:r>
    </w:p>
    <w:p w14:paraId="4165F9A7" w14:textId="2BA933DC" w:rsidR="00D11106" w:rsidRDefault="00D11106" w:rsidP="00D34FBB">
      <w:pPr>
        <w:pStyle w:val="ListParagraph"/>
        <w:numPr>
          <w:ilvl w:val="0"/>
          <w:numId w:val="2"/>
        </w:numPr>
      </w:pPr>
      <w:r>
        <w:t>Obtain mortgage approval from an FDIC-insured bank or mortgage lender</w:t>
      </w:r>
      <w:r w:rsidR="005B1FA6">
        <w:t xml:space="preserve"> for the balance value of the prospective property</w:t>
      </w:r>
      <w:r w:rsidR="00D34FBB">
        <w:t xml:space="preserve"> (purchase price – [owner-provided down payment </w:t>
      </w:r>
      <w:r w:rsidR="0018473A">
        <w:t xml:space="preserve">+ </w:t>
      </w:r>
      <w:r w:rsidR="00D34FBB">
        <w:t xml:space="preserve">City subsidy]) </w:t>
      </w:r>
      <w:r w:rsidR="0018473A">
        <w:t>or possess</w:t>
      </w:r>
      <w:r w:rsidR="00D34FBB" w:rsidRPr="00D34FBB">
        <w:t xml:space="preserve"> a qualifying FICO Score</w:t>
      </w:r>
      <w:r w:rsidR="0018473A">
        <w:t xml:space="preserve"> defined as 650</w:t>
      </w:r>
      <w:r w:rsidR="00C737D0">
        <w:t>.</w:t>
      </w:r>
    </w:p>
    <w:p w14:paraId="00275AD5" w14:textId="77777777" w:rsidR="00D11106" w:rsidRDefault="00D11106" w:rsidP="00D11106">
      <w:pPr>
        <w:pStyle w:val="ListParagraph"/>
        <w:numPr>
          <w:ilvl w:val="0"/>
          <w:numId w:val="2"/>
        </w:numPr>
        <w:jc w:val="both"/>
      </w:pPr>
      <w:r>
        <w:t>Provide proof of income</w:t>
      </w:r>
      <w:r w:rsidR="005B1FA6">
        <w:t xml:space="preserve"> and assets</w:t>
      </w:r>
      <w:r>
        <w:t xml:space="preserve"> </w:t>
      </w:r>
      <w:r w:rsidR="00927588">
        <w:t xml:space="preserve">as well as expenses </w:t>
      </w:r>
      <w:r>
        <w:t xml:space="preserve">for all applicant household </w:t>
      </w:r>
      <w:proofErr w:type="gramStart"/>
      <w:r>
        <w:t>members</w:t>
      </w:r>
      <w:proofErr w:type="gramEnd"/>
    </w:p>
    <w:p w14:paraId="00D444B8" w14:textId="77777777" w:rsidR="00D11106" w:rsidRDefault="005B1FA6" w:rsidP="001E75A9">
      <w:pPr>
        <w:pStyle w:val="ListParagraph"/>
        <w:numPr>
          <w:ilvl w:val="0"/>
          <w:numId w:val="2"/>
        </w:numPr>
        <w:jc w:val="both"/>
      </w:pPr>
      <w:r>
        <w:t>Provide p</w:t>
      </w:r>
      <w:r w:rsidR="00D11106">
        <w:t xml:space="preserve">roof of residency </w:t>
      </w:r>
      <w:r>
        <w:t>with</w:t>
      </w:r>
      <w:r w:rsidR="00D11106">
        <w:t xml:space="preserve">in </w:t>
      </w:r>
      <w:r w:rsidR="0050349D">
        <w:t>Miami-Dade County</w:t>
      </w:r>
    </w:p>
    <w:p w14:paraId="6A5D082E" w14:textId="77777777" w:rsidR="005B1FA6" w:rsidRDefault="005B1FA6" w:rsidP="001E75A9">
      <w:pPr>
        <w:pStyle w:val="ListParagraph"/>
        <w:numPr>
          <w:ilvl w:val="0"/>
          <w:numId w:val="2"/>
        </w:numPr>
        <w:jc w:val="both"/>
      </w:pPr>
      <w:r>
        <w:t>Complete a First-Time Homebuyer Application</w:t>
      </w:r>
      <w:r w:rsidR="0050349D">
        <w:t xml:space="preserve"> accurately and </w:t>
      </w:r>
      <w:proofErr w:type="gramStart"/>
      <w:r w:rsidR="0050349D">
        <w:t>completely</w:t>
      </w:r>
      <w:proofErr w:type="gramEnd"/>
    </w:p>
    <w:p w14:paraId="0E0FC3EA" w14:textId="77777777" w:rsidR="00987E8D" w:rsidRDefault="00987E8D" w:rsidP="001E75A9">
      <w:pPr>
        <w:pStyle w:val="ListParagraph"/>
        <w:numPr>
          <w:ilvl w:val="0"/>
          <w:numId w:val="2"/>
        </w:numPr>
        <w:jc w:val="both"/>
      </w:pPr>
      <w:r>
        <w:t>Purchase a qualifying home within the City of Miami Beach</w:t>
      </w:r>
    </w:p>
    <w:p w14:paraId="0DDB8FB9" w14:textId="7E04CC73" w:rsidR="00E53C29" w:rsidRDefault="00F22FE9" w:rsidP="001E75A9">
      <w:pPr>
        <w:jc w:val="both"/>
      </w:pPr>
      <w:r>
        <w:t>SHIP</w:t>
      </w:r>
      <w:r w:rsidR="00036A2A">
        <w:t xml:space="preserve"> and HOME</w:t>
      </w:r>
      <w:r>
        <w:t xml:space="preserve"> funds require</w:t>
      </w:r>
      <w:r w:rsidR="00273976">
        <w:t xml:space="preserve"> that funds </w:t>
      </w:r>
      <w:r w:rsidR="00785D12">
        <w:t xml:space="preserve">prioritize </w:t>
      </w:r>
      <w:r w:rsidR="00273976">
        <w:t>serv</w:t>
      </w:r>
      <w:r w:rsidR="00785D12">
        <w:t>ic</w:t>
      </w:r>
      <w:r w:rsidR="00273976">
        <w:t xml:space="preserve">e </w:t>
      </w:r>
      <w:r w:rsidR="00785D12">
        <w:t xml:space="preserve">to </w:t>
      </w:r>
      <w:r w:rsidR="00273976">
        <w:t>very-low</w:t>
      </w:r>
      <w:r w:rsidR="0018473A">
        <w:t>-</w:t>
      </w:r>
      <w:r w:rsidR="00273976">
        <w:t xml:space="preserve"> and low-income families. </w:t>
      </w:r>
      <w:r w:rsidR="00785D12" w:rsidRPr="00785D12">
        <w:t>According to SHIP guidelines, at least 30 percent of the funds must be reserved for awards to very-low-income persons and at least an additional 30 percent of the funds must be reserved for awards to low-income persons. The City will factor these guidelines in determining program eligibility.</w:t>
      </w:r>
      <w:r w:rsidR="0018473A">
        <w:t xml:space="preserve"> HOME funds require that assisted households earn no more than 80% Area Median Income (AMI). </w:t>
      </w:r>
    </w:p>
    <w:p w14:paraId="3B256A06" w14:textId="77777777" w:rsidR="00273976" w:rsidRDefault="00273976" w:rsidP="00297ADF">
      <w:pPr>
        <w:jc w:val="both"/>
      </w:pPr>
      <w:r w:rsidRPr="001E75A9">
        <w:lastRenderedPageBreak/>
        <w:t xml:space="preserve">"Very-low-income person" or "very-low-income household" means one or more natural persons or a family that has a total annual gross household income that does not exceed 50 percent of the median annual income adjusted for family size for households within the metropolitan statistical area. </w:t>
      </w:r>
    </w:p>
    <w:p w14:paraId="25613C67" w14:textId="77777777" w:rsidR="001E75A9" w:rsidRDefault="001E75A9" w:rsidP="00297ADF">
      <w:pPr>
        <w:jc w:val="both"/>
      </w:pPr>
      <w:r w:rsidRPr="001E75A9">
        <w:t xml:space="preserve">"Low-income person" or "low-income household" means one or more natural persons or a family that has a total annual gross household income that does not exceed 80 percent of the median annual income adjusted for family size for households within the metropolitan statistical area. </w:t>
      </w:r>
    </w:p>
    <w:p w14:paraId="1E56F531" w14:textId="77777777" w:rsidR="00785D12" w:rsidRDefault="00785D12" w:rsidP="00297ADF">
      <w:pPr>
        <w:jc w:val="both"/>
      </w:pPr>
      <w:r w:rsidRPr="00785D12">
        <w:t xml:space="preserve">"Moderate-income person" or "moderate-income household" means one or more natural persons or a family that has a total annual gross household income that does not exceed 120 percent of the median annual income adjusted for family size for households within the metropolitan statistical area. </w:t>
      </w:r>
    </w:p>
    <w:p w14:paraId="09090E01" w14:textId="368C4C3A" w:rsidR="001E75A9" w:rsidRDefault="00297ADF" w:rsidP="001E75A9">
      <w:pPr>
        <w:pStyle w:val="Default"/>
        <w:spacing w:before="100" w:after="100"/>
        <w:jc w:val="both"/>
        <w:rPr>
          <w:rFonts w:asciiTheme="minorHAnsi" w:hAnsiTheme="minorHAnsi"/>
          <w:sz w:val="22"/>
          <w:szCs w:val="22"/>
        </w:rPr>
      </w:pPr>
      <w:r>
        <w:rPr>
          <w:rFonts w:asciiTheme="minorHAnsi" w:hAnsiTheme="minorHAnsi"/>
          <w:sz w:val="22"/>
          <w:szCs w:val="22"/>
        </w:rPr>
        <w:t>T</w:t>
      </w:r>
      <w:r w:rsidR="001E75A9">
        <w:rPr>
          <w:rFonts w:asciiTheme="minorHAnsi" w:hAnsiTheme="minorHAnsi"/>
          <w:sz w:val="22"/>
          <w:szCs w:val="22"/>
        </w:rPr>
        <w:t>he in</w:t>
      </w:r>
      <w:r w:rsidR="00FB568C">
        <w:rPr>
          <w:rFonts w:asciiTheme="minorHAnsi" w:hAnsiTheme="minorHAnsi"/>
          <w:sz w:val="22"/>
          <w:szCs w:val="22"/>
        </w:rPr>
        <w:t>come limits for 20</w:t>
      </w:r>
      <w:r w:rsidR="00B57750">
        <w:rPr>
          <w:rFonts w:asciiTheme="minorHAnsi" w:hAnsiTheme="minorHAnsi"/>
          <w:sz w:val="22"/>
          <w:szCs w:val="22"/>
        </w:rPr>
        <w:t>2</w:t>
      </w:r>
      <w:r w:rsidR="0018473A">
        <w:rPr>
          <w:rFonts w:asciiTheme="minorHAnsi" w:hAnsiTheme="minorHAnsi"/>
          <w:sz w:val="22"/>
          <w:szCs w:val="22"/>
        </w:rPr>
        <w:t>1</w:t>
      </w:r>
      <w:r>
        <w:rPr>
          <w:rFonts w:asciiTheme="minorHAnsi" w:hAnsiTheme="minorHAnsi"/>
          <w:sz w:val="22"/>
          <w:szCs w:val="22"/>
        </w:rPr>
        <w:t xml:space="preserve"> are</w:t>
      </w:r>
      <w:r w:rsidR="001E75A9">
        <w:rPr>
          <w:rFonts w:asciiTheme="minorHAnsi" w:hAnsiTheme="minorHAnsi"/>
          <w:sz w:val="22"/>
          <w:szCs w:val="22"/>
        </w:rPr>
        <w:t>:</w:t>
      </w:r>
    </w:p>
    <w:tbl>
      <w:tblPr>
        <w:tblStyle w:val="TableGrid"/>
        <w:tblW w:w="0" w:type="auto"/>
        <w:tblLook w:val="04A0" w:firstRow="1" w:lastRow="0" w:firstColumn="1" w:lastColumn="0" w:noHBand="0" w:noVBand="1"/>
      </w:tblPr>
      <w:tblGrid>
        <w:gridCol w:w="1420"/>
        <w:gridCol w:w="971"/>
        <w:gridCol w:w="971"/>
        <w:gridCol w:w="971"/>
        <w:gridCol w:w="971"/>
        <w:gridCol w:w="971"/>
        <w:gridCol w:w="971"/>
        <w:gridCol w:w="1052"/>
        <w:gridCol w:w="1052"/>
      </w:tblGrid>
      <w:tr w:rsidR="0018473A" w:rsidRPr="0017498C" w14:paraId="6CAFE2E3" w14:textId="77777777" w:rsidTr="007B384C">
        <w:tc>
          <w:tcPr>
            <w:tcW w:w="1422" w:type="dxa"/>
          </w:tcPr>
          <w:p w14:paraId="41A5A01A" w14:textId="77777777" w:rsidR="0018473A" w:rsidRPr="00D21646" w:rsidRDefault="0018473A" w:rsidP="007B384C">
            <w:pPr>
              <w:jc w:val="both"/>
              <w:rPr>
                <w:b/>
                <w:bCs/>
              </w:rPr>
            </w:pPr>
            <w:r w:rsidRPr="00D21646">
              <w:rPr>
                <w:b/>
                <w:bCs/>
              </w:rPr>
              <w:t>Percentage Category</w:t>
            </w:r>
          </w:p>
        </w:tc>
        <w:tc>
          <w:tcPr>
            <w:tcW w:w="971" w:type="dxa"/>
            <w:vAlign w:val="center"/>
          </w:tcPr>
          <w:p w14:paraId="09FBCC2E" w14:textId="77777777" w:rsidR="0018473A" w:rsidRPr="0017498C" w:rsidRDefault="0018473A" w:rsidP="007B384C">
            <w:pPr>
              <w:jc w:val="center"/>
              <w:rPr>
                <w:b/>
                <w:bCs/>
              </w:rPr>
            </w:pPr>
            <w:r w:rsidRPr="0017498C">
              <w:rPr>
                <w:b/>
                <w:bCs/>
              </w:rPr>
              <w:t>1-Person</w:t>
            </w:r>
          </w:p>
        </w:tc>
        <w:tc>
          <w:tcPr>
            <w:tcW w:w="971" w:type="dxa"/>
            <w:vAlign w:val="center"/>
          </w:tcPr>
          <w:p w14:paraId="1BD4C62C" w14:textId="77777777" w:rsidR="0018473A" w:rsidRPr="0017498C" w:rsidRDefault="0018473A" w:rsidP="007B384C">
            <w:pPr>
              <w:jc w:val="center"/>
              <w:rPr>
                <w:b/>
                <w:bCs/>
              </w:rPr>
            </w:pPr>
            <w:r w:rsidRPr="0017498C">
              <w:rPr>
                <w:b/>
                <w:bCs/>
              </w:rPr>
              <w:t>2-Person</w:t>
            </w:r>
          </w:p>
        </w:tc>
        <w:tc>
          <w:tcPr>
            <w:tcW w:w="971" w:type="dxa"/>
            <w:vAlign w:val="center"/>
          </w:tcPr>
          <w:p w14:paraId="4CC34812" w14:textId="77777777" w:rsidR="0018473A" w:rsidRPr="0017498C" w:rsidRDefault="0018473A" w:rsidP="007B384C">
            <w:pPr>
              <w:jc w:val="center"/>
              <w:rPr>
                <w:b/>
                <w:bCs/>
              </w:rPr>
            </w:pPr>
            <w:r w:rsidRPr="0017498C">
              <w:rPr>
                <w:b/>
                <w:bCs/>
              </w:rPr>
              <w:t>3-Person</w:t>
            </w:r>
          </w:p>
        </w:tc>
        <w:tc>
          <w:tcPr>
            <w:tcW w:w="971" w:type="dxa"/>
            <w:vAlign w:val="center"/>
          </w:tcPr>
          <w:p w14:paraId="7AB0BC51" w14:textId="77777777" w:rsidR="0018473A" w:rsidRPr="0017498C" w:rsidRDefault="0018473A" w:rsidP="007B384C">
            <w:pPr>
              <w:jc w:val="center"/>
              <w:rPr>
                <w:b/>
                <w:bCs/>
              </w:rPr>
            </w:pPr>
            <w:r w:rsidRPr="0017498C">
              <w:rPr>
                <w:b/>
                <w:bCs/>
              </w:rPr>
              <w:t>4 -Person</w:t>
            </w:r>
          </w:p>
        </w:tc>
        <w:tc>
          <w:tcPr>
            <w:tcW w:w="971" w:type="dxa"/>
            <w:vAlign w:val="center"/>
          </w:tcPr>
          <w:p w14:paraId="69357133" w14:textId="77777777" w:rsidR="0018473A" w:rsidRPr="0017498C" w:rsidRDefault="0018473A" w:rsidP="007B384C">
            <w:pPr>
              <w:jc w:val="center"/>
              <w:rPr>
                <w:b/>
                <w:bCs/>
              </w:rPr>
            </w:pPr>
            <w:r w:rsidRPr="0017498C">
              <w:rPr>
                <w:b/>
                <w:bCs/>
              </w:rPr>
              <w:t>5 -Person</w:t>
            </w:r>
          </w:p>
        </w:tc>
        <w:tc>
          <w:tcPr>
            <w:tcW w:w="971" w:type="dxa"/>
            <w:vAlign w:val="center"/>
          </w:tcPr>
          <w:p w14:paraId="4244A272" w14:textId="77777777" w:rsidR="0018473A" w:rsidRPr="0017498C" w:rsidRDefault="0018473A" w:rsidP="007B384C">
            <w:pPr>
              <w:jc w:val="center"/>
              <w:rPr>
                <w:b/>
                <w:bCs/>
              </w:rPr>
            </w:pPr>
            <w:r w:rsidRPr="0017498C">
              <w:rPr>
                <w:b/>
                <w:bCs/>
              </w:rPr>
              <w:t>6-Person</w:t>
            </w:r>
          </w:p>
        </w:tc>
        <w:tc>
          <w:tcPr>
            <w:tcW w:w="1051" w:type="dxa"/>
            <w:vAlign w:val="center"/>
          </w:tcPr>
          <w:p w14:paraId="5E18BEFD" w14:textId="77777777" w:rsidR="0018473A" w:rsidRPr="0017498C" w:rsidRDefault="0018473A" w:rsidP="007B384C">
            <w:pPr>
              <w:jc w:val="center"/>
              <w:rPr>
                <w:b/>
                <w:bCs/>
              </w:rPr>
            </w:pPr>
            <w:r w:rsidRPr="0017498C">
              <w:rPr>
                <w:b/>
                <w:bCs/>
              </w:rPr>
              <w:t>7-Person</w:t>
            </w:r>
          </w:p>
        </w:tc>
        <w:tc>
          <w:tcPr>
            <w:tcW w:w="1051" w:type="dxa"/>
            <w:vAlign w:val="center"/>
          </w:tcPr>
          <w:p w14:paraId="7663C600" w14:textId="77777777" w:rsidR="0018473A" w:rsidRPr="0017498C" w:rsidRDefault="0018473A" w:rsidP="007B384C">
            <w:pPr>
              <w:jc w:val="center"/>
              <w:rPr>
                <w:b/>
                <w:bCs/>
              </w:rPr>
            </w:pPr>
            <w:r w:rsidRPr="0017498C">
              <w:rPr>
                <w:b/>
                <w:bCs/>
              </w:rPr>
              <w:t>8-Person</w:t>
            </w:r>
          </w:p>
        </w:tc>
      </w:tr>
      <w:tr w:rsidR="0018473A" w14:paraId="03DD9FFC" w14:textId="77777777" w:rsidTr="007B384C">
        <w:tc>
          <w:tcPr>
            <w:tcW w:w="1422" w:type="dxa"/>
          </w:tcPr>
          <w:p w14:paraId="32A00618" w14:textId="77777777" w:rsidR="0018473A" w:rsidRPr="0017498C" w:rsidRDefault="0018473A" w:rsidP="007B384C">
            <w:pPr>
              <w:rPr>
                <w:b/>
                <w:bCs/>
              </w:rPr>
            </w:pPr>
            <w:r w:rsidRPr="0017498C">
              <w:rPr>
                <w:b/>
                <w:bCs/>
              </w:rPr>
              <w:t>Extremely Low- Income Limits (30%)</w:t>
            </w:r>
          </w:p>
        </w:tc>
        <w:tc>
          <w:tcPr>
            <w:tcW w:w="971" w:type="dxa"/>
            <w:vAlign w:val="center"/>
          </w:tcPr>
          <w:p w14:paraId="40168249" w14:textId="77777777" w:rsidR="0018473A" w:rsidRPr="0095772D" w:rsidRDefault="0018473A" w:rsidP="007B384C">
            <w:pPr>
              <w:jc w:val="center"/>
            </w:pPr>
            <w:r w:rsidRPr="0095772D">
              <w:t>$19,</w:t>
            </w:r>
            <w:r>
              <w:t>0</w:t>
            </w:r>
            <w:r w:rsidRPr="0095772D">
              <w:t>00</w:t>
            </w:r>
          </w:p>
        </w:tc>
        <w:tc>
          <w:tcPr>
            <w:tcW w:w="971" w:type="dxa"/>
            <w:vAlign w:val="center"/>
          </w:tcPr>
          <w:p w14:paraId="3A9113DF" w14:textId="77777777" w:rsidR="0018473A" w:rsidRPr="0095772D" w:rsidRDefault="0018473A" w:rsidP="007B384C">
            <w:pPr>
              <w:jc w:val="center"/>
            </w:pPr>
            <w:r w:rsidRPr="0095772D">
              <w:t>$21,</w:t>
            </w:r>
            <w:r>
              <w:t>700</w:t>
            </w:r>
          </w:p>
        </w:tc>
        <w:tc>
          <w:tcPr>
            <w:tcW w:w="971" w:type="dxa"/>
            <w:vAlign w:val="center"/>
          </w:tcPr>
          <w:p w14:paraId="6AB41452" w14:textId="77777777" w:rsidR="0018473A" w:rsidRPr="0095772D" w:rsidRDefault="0018473A" w:rsidP="007B384C">
            <w:pPr>
              <w:jc w:val="center"/>
            </w:pPr>
            <w:r w:rsidRPr="0095772D">
              <w:t>$24,</w:t>
            </w:r>
            <w:r>
              <w:t>4</w:t>
            </w:r>
            <w:r w:rsidRPr="0095772D">
              <w:t>00</w:t>
            </w:r>
          </w:p>
        </w:tc>
        <w:tc>
          <w:tcPr>
            <w:tcW w:w="971" w:type="dxa"/>
            <w:vAlign w:val="center"/>
          </w:tcPr>
          <w:p w14:paraId="197C847A" w14:textId="77777777" w:rsidR="0018473A" w:rsidRPr="0095772D" w:rsidRDefault="0018473A" w:rsidP="007B384C">
            <w:pPr>
              <w:jc w:val="center"/>
            </w:pPr>
            <w:r w:rsidRPr="0095772D">
              <w:t>$27,</w:t>
            </w:r>
            <w:r>
              <w:t>1</w:t>
            </w:r>
            <w:r w:rsidRPr="0095772D">
              <w:t>00</w:t>
            </w:r>
          </w:p>
        </w:tc>
        <w:tc>
          <w:tcPr>
            <w:tcW w:w="971" w:type="dxa"/>
            <w:vAlign w:val="center"/>
          </w:tcPr>
          <w:p w14:paraId="58F30B5E" w14:textId="77777777" w:rsidR="0018473A" w:rsidRPr="0095772D" w:rsidRDefault="0018473A" w:rsidP="007B384C">
            <w:pPr>
              <w:jc w:val="center"/>
            </w:pPr>
            <w:r w:rsidRPr="0095772D">
              <w:t>$</w:t>
            </w:r>
            <w:r>
              <w:t>31,040</w:t>
            </w:r>
          </w:p>
        </w:tc>
        <w:tc>
          <w:tcPr>
            <w:tcW w:w="971" w:type="dxa"/>
            <w:vAlign w:val="center"/>
          </w:tcPr>
          <w:p w14:paraId="7F080730" w14:textId="77777777" w:rsidR="0018473A" w:rsidRPr="0095772D" w:rsidRDefault="0018473A" w:rsidP="007B384C">
            <w:pPr>
              <w:jc w:val="center"/>
            </w:pPr>
            <w:r w:rsidRPr="0095772D">
              <w:t>$35,</w:t>
            </w:r>
            <w:r>
              <w:t>580</w:t>
            </w:r>
          </w:p>
        </w:tc>
        <w:tc>
          <w:tcPr>
            <w:tcW w:w="1051" w:type="dxa"/>
            <w:vAlign w:val="center"/>
          </w:tcPr>
          <w:p w14:paraId="7208A7CF" w14:textId="77777777" w:rsidR="0018473A" w:rsidRPr="0095772D" w:rsidRDefault="0018473A" w:rsidP="007B384C">
            <w:pPr>
              <w:jc w:val="center"/>
            </w:pPr>
            <w:r w:rsidRPr="0095772D">
              <w:t>$</w:t>
            </w:r>
            <w:r>
              <w:t>40,120</w:t>
            </w:r>
          </w:p>
        </w:tc>
        <w:tc>
          <w:tcPr>
            <w:tcW w:w="1051" w:type="dxa"/>
            <w:vAlign w:val="center"/>
          </w:tcPr>
          <w:p w14:paraId="511A9547" w14:textId="77777777" w:rsidR="0018473A" w:rsidRPr="0095772D" w:rsidRDefault="0018473A" w:rsidP="007B384C">
            <w:pPr>
              <w:jc w:val="center"/>
            </w:pPr>
            <w:r w:rsidRPr="0095772D">
              <w:t>$44,</w:t>
            </w:r>
            <w:r>
              <w:t>660</w:t>
            </w:r>
          </w:p>
        </w:tc>
      </w:tr>
      <w:tr w:rsidR="0018473A" w14:paraId="0FE96365" w14:textId="77777777" w:rsidTr="007B384C">
        <w:tc>
          <w:tcPr>
            <w:tcW w:w="1422" w:type="dxa"/>
          </w:tcPr>
          <w:p w14:paraId="684F3C32" w14:textId="77777777" w:rsidR="0018473A" w:rsidRPr="0017498C" w:rsidRDefault="0018473A" w:rsidP="007B384C">
            <w:pPr>
              <w:rPr>
                <w:b/>
                <w:bCs/>
              </w:rPr>
            </w:pPr>
            <w:r w:rsidRPr="0017498C">
              <w:rPr>
                <w:b/>
                <w:bCs/>
              </w:rPr>
              <w:t>Very Low-Income (50%)</w:t>
            </w:r>
          </w:p>
        </w:tc>
        <w:tc>
          <w:tcPr>
            <w:tcW w:w="971" w:type="dxa"/>
            <w:vAlign w:val="center"/>
          </w:tcPr>
          <w:p w14:paraId="42C5261A" w14:textId="77777777" w:rsidR="0018473A" w:rsidRPr="0095772D" w:rsidRDefault="0018473A" w:rsidP="007B384C">
            <w:pPr>
              <w:jc w:val="center"/>
            </w:pPr>
            <w:r w:rsidRPr="0095772D">
              <w:t>$</w:t>
            </w:r>
            <w:r>
              <w:t>31,650</w:t>
            </w:r>
          </w:p>
        </w:tc>
        <w:tc>
          <w:tcPr>
            <w:tcW w:w="971" w:type="dxa"/>
            <w:vAlign w:val="center"/>
          </w:tcPr>
          <w:p w14:paraId="2053886B" w14:textId="77777777" w:rsidR="0018473A" w:rsidRPr="0095772D" w:rsidRDefault="0018473A" w:rsidP="007B384C">
            <w:pPr>
              <w:jc w:val="center"/>
            </w:pPr>
            <w:r w:rsidRPr="0095772D">
              <w:t>$36,</w:t>
            </w:r>
            <w:r>
              <w:t>2</w:t>
            </w:r>
            <w:r w:rsidRPr="0095772D">
              <w:t>00</w:t>
            </w:r>
          </w:p>
        </w:tc>
        <w:tc>
          <w:tcPr>
            <w:tcW w:w="971" w:type="dxa"/>
            <w:vAlign w:val="center"/>
          </w:tcPr>
          <w:p w14:paraId="3FA52399" w14:textId="77777777" w:rsidR="0018473A" w:rsidRPr="0095772D" w:rsidRDefault="0018473A" w:rsidP="007B384C">
            <w:pPr>
              <w:jc w:val="center"/>
            </w:pPr>
            <w:r w:rsidRPr="0095772D">
              <w:t>$</w:t>
            </w:r>
            <w:r>
              <w:t>40,700</w:t>
            </w:r>
          </w:p>
        </w:tc>
        <w:tc>
          <w:tcPr>
            <w:tcW w:w="971" w:type="dxa"/>
            <w:vAlign w:val="center"/>
          </w:tcPr>
          <w:p w14:paraId="3D537D4C" w14:textId="77777777" w:rsidR="0018473A" w:rsidRPr="0095772D" w:rsidRDefault="0018473A" w:rsidP="007B384C">
            <w:pPr>
              <w:jc w:val="center"/>
            </w:pPr>
            <w:r w:rsidRPr="0095772D">
              <w:t>$45,</w:t>
            </w:r>
            <w:r>
              <w:t>2</w:t>
            </w:r>
            <w:r w:rsidRPr="0095772D">
              <w:t>00</w:t>
            </w:r>
          </w:p>
        </w:tc>
        <w:tc>
          <w:tcPr>
            <w:tcW w:w="971" w:type="dxa"/>
            <w:vAlign w:val="center"/>
          </w:tcPr>
          <w:p w14:paraId="46FAA8D9" w14:textId="77777777" w:rsidR="0018473A" w:rsidRPr="0095772D" w:rsidRDefault="0018473A" w:rsidP="007B384C">
            <w:pPr>
              <w:jc w:val="center"/>
            </w:pPr>
            <w:r w:rsidRPr="0095772D">
              <w:t>$</w:t>
            </w:r>
            <w:r>
              <w:t>48,850</w:t>
            </w:r>
          </w:p>
        </w:tc>
        <w:tc>
          <w:tcPr>
            <w:tcW w:w="971" w:type="dxa"/>
            <w:vAlign w:val="center"/>
          </w:tcPr>
          <w:p w14:paraId="192C5750" w14:textId="77777777" w:rsidR="0018473A" w:rsidRPr="0095772D" w:rsidRDefault="0018473A" w:rsidP="007B384C">
            <w:pPr>
              <w:jc w:val="center"/>
            </w:pPr>
            <w:r w:rsidRPr="0095772D">
              <w:t>$</w:t>
            </w:r>
            <w:r>
              <w:t>52,450</w:t>
            </w:r>
          </w:p>
        </w:tc>
        <w:tc>
          <w:tcPr>
            <w:tcW w:w="1051" w:type="dxa"/>
            <w:vAlign w:val="center"/>
          </w:tcPr>
          <w:p w14:paraId="551E60AB" w14:textId="77777777" w:rsidR="0018473A" w:rsidRPr="0095772D" w:rsidRDefault="0018473A" w:rsidP="007B384C">
            <w:pPr>
              <w:jc w:val="center"/>
            </w:pPr>
            <w:r w:rsidRPr="0095772D">
              <w:t>$56,</w:t>
            </w:r>
            <w:r>
              <w:t>050</w:t>
            </w:r>
          </w:p>
        </w:tc>
        <w:tc>
          <w:tcPr>
            <w:tcW w:w="1051" w:type="dxa"/>
            <w:vAlign w:val="center"/>
          </w:tcPr>
          <w:p w14:paraId="096F5A57" w14:textId="77777777" w:rsidR="0018473A" w:rsidRPr="0095772D" w:rsidRDefault="0018473A" w:rsidP="007B384C">
            <w:pPr>
              <w:jc w:val="center"/>
            </w:pPr>
            <w:r w:rsidRPr="0095772D">
              <w:t>$</w:t>
            </w:r>
            <w:r>
              <w:t>59,700</w:t>
            </w:r>
          </w:p>
        </w:tc>
      </w:tr>
      <w:tr w:rsidR="0018473A" w14:paraId="0C008C7F" w14:textId="77777777" w:rsidTr="007B384C">
        <w:tc>
          <w:tcPr>
            <w:tcW w:w="1422" w:type="dxa"/>
          </w:tcPr>
          <w:p w14:paraId="0796DE7B" w14:textId="77777777" w:rsidR="0018473A" w:rsidRPr="0017498C" w:rsidRDefault="0018473A" w:rsidP="007B384C">
            <w:pPr>
              <w:rPr>
                <w:b/>
                <w:bCs/>
              </w:rPr>
            </w:pPr>
            <w:r>
              <w:rPr>
                <w:b/>
                <w:bCs/>
              </w:rPr>
              <w:t>60% Limit</w:t>
            </w:r>
          </w:p>
        </w:tc>
        <w:tc>
          <w:tcPr>
            <w:tcW w:w="971" w:type="dxa"/>
            <w:vAlign w:val="center"/>
          </w:tcPr>
          <w:p w14:paraId="41E1BE6B" w14:textId="77777777" w:rsidR="0018473A" w:rsidRPr="0095772D" w:rsidRDefault="0018473A" w:rsidP="007B384C">
            <w:pPr>
              <w:jc w:val="center"/>
            </w:pPr>
            <w:r>
              <w:t>$37,980</w:t>
            </w:r>
          </w:p>
        </w:tc>
        <w:tc>
          <w:tcPr>
            <w:tcW w:w="971" w:type="dxa"/>
            <w:vAlign w:val="center"/>
          </w:tcPr>
          <w:p w14:paraId="0C52EF62" w14:textId="77777777" w:rsidR="0018473A" w:rsidRPr="0095772D" w:rsidRDefault="0018473A" w:rsidP="007B384C">
            <w:pPr>
              <w:jc w:val="center"/>
            </w:pPr>
            <w:r>
              <w:t>$43,440</w:t>
            </w:r>
          </w:p>
        </w:tc>
        <w:tc>
          <w:tcPr>
            <w:tcW w:w="971" w:type="dxa"/>
            <w:vAlign w:val="center"/>
          </w:tcPr>
          <w:p w14:paraId="64B63447" w14:textId="77777777" w:rsidR="0018473A" w:rsidRPr="0095772D" w:rsidRDefault="0018473A" w:rsidP="007B384C">
            <w:pPr>
              <w:jc w:val="center"/>
            </w:pPr>
            <w:r>
              <w:t>$48,840</w:t>
            </w:r>
          </w:p>
        </w:tc>
        <w:tc>
          <w:tcPr>
            <w:tcW w:w="971" w:type="dxa"/>
            <w:vAlign w:val="center"/>
          </w:tcPr>
          <w:p w14:paraId="3D00720B" w14:textId="77777777" w:rsidR="0018473A" w:rsidRPr="0095772D" w:rsidRDefault="0018473A" w:rsidP="007B384C">
            <w:pPr>
              <w:jc w:val="center"/>
            </w:pPr>
            <w:r>
              <w:t>$54,240</w:t>
            </w:r>
          </w:p>
        </w:tc>
        <w:tc>
          <w:tcPr>
            <w:tcW w:w="971" w:type="dxa"/>
            <w:vAlign w:val="center"/>
          </w:tcPr>
          <w:p w14:paraId="5523D933" w14:textId="77777777" w:rsidR="0018473A" w:rsidRPr="0095772D" w:rsidRDefault="0018473A" w:rsidP="007B384C">
            <w:pPr>
              <w:jc w:val="center"/>
            </w:pPr>
            <w:r>
              <w:t>$58,620</w:t>
            </w:r>
          </w:p>
        </w:tc>
        <w:tc>
          <w:tcPr>
            <w:tcW w:w="971" w:type="dxa"/>
            <w:vAlign w:val="center"/>
          </w:tcPr>
          <w:p w14:paraId="5B50651F" w14:textId="77777777" w:rsidR="0018473A" w:rsidRPr="0095772D" w:rsidRDefault="0018473A" w:rsidP="007B384C">
            <w:pPr>
              <w:jc w:val="center"/>
            </w:pPr>
            <w:r>
              <w:t>$62,940</w:t>
            </w:r>
          </w:p>
        </w:tc>
        <w:tc>
          <w:tcPr>
            <w:tcW w:w="1051" w:type="dxa"/>
            <w:vAlign w:val="center"/>
          </w:tcPr>
          <w:p w14:paraId="3644502C" w14:textId="77777777" w:rsidR="0018473A" w:rsidRPr="0095772D" w:rsidRDefault="0018473A" w:rsidP="007B384C">
            <w:pPr>
              <w:jc w:val="center"/>
            </w:pPr>
            <w:r>
              <w:t>$67,260</w:t>
            </w:r>
          </w:p>
        </w:tc>
        <w:tc>
          <w:tcPr>
            <w:tcW w:w="1051" w:type="dxa"/>
            <w:vAlign w:val="center"/>
          </w:tcPr>
          <w:p w14:paraId="75C46FC3" w14:textId="77777777" w:rsidR="0018473A" w:rsidRPr="0095772D" w:rsidRDefault="0018473A" w:rsidP="007B384C">
            <w:pPr>
              <w:jc w:val="center"/>
            </w:pPr>
            <w:r>
              <w:t>$71,640</w:t>
            </w:r>
          </w:p>
        </w:tc>
      </w:tr>
      <w:tr w:rsidR="0018473A" w14:paraId="23DE11EC" w14:textId="77777777" w:rsidTr="007B384C">
        <w:tc>
          <w:tcPr>
            <w:tcW w:w="1422" w:type="dxa"/>
          </w:tcPr>
          <w:p w14:paraId="0C1A92F8" w14:textId="77777777" w:rsidR="0018473A" w:rsidRPr="0017498C" w:rsidRDefault="0018473A" w:rsidP="007B384C">
            <w:pPr>
              <w:rPr>
                <w:b/>
                <w:bCs/>
              </w:rPr>
            </w:pPr>
            <w:r w:rsidRPr="0017498C">
              <w:rPr>
                <w:b/>
                <w:bCs/>
              </w:rPr>
              <w:t>Low-Income (80%)</w:t>
            </w:r>
          </w:p>
        </w:tc>
        <w:tc>
          <w:tcPr>
            <w:tcW w:w="971" w:type="dxa"/>
            <w:vAlign w:val="center"/>
          </w:tcPr>
          <w:p w14:paraId="7284FBB9" w14:textId="77777777" w:rsidR="0018473A" w:rsidRPr="0095772D" w:rsidRDefault="0018473A" w:rsidP="007B384C">
            <w:pPr>
              <w:jc w:val="center"/>
            </w:pPr>
            <w:r w:rsidRPr="0095772D">
              <w:t>$5</w:t>
            </w:r>
            <w:r>
              <w:t>0,650</w:t>
            </w:r>
          </w:p>
        </w:tc>
        <w:tc>
          <w:tcPr>
            <w:tcW w:w="971" w:type="dxa"/>
            <w:vAlign w:val="center"/>
          </w:tcPr>
          <w:p w14:paraId="72B9DAEB" w14:textId="77777777" w:rsidR="0018473A" w:rsidRPr="0095772D" w:rsidRDefault="0018473A" w:rsidP="007B384C">
            <w:pPr>
              <w:jc w:val="center"/>
            </w:pPr>
            <w:r w:rsidRPr="0095772D">
              <w:t>$5</w:t>
            </w:r>
            <w:r>
              <w:t>7</w:t>
            </w:r>
            <w:r w:rsidRPr="0095772D">
              <w:t>,</w:t>
            </w:r>
            <w:r>
              <w:t>85</w:t>
            </w:r>
            <w:r w:rsidRPr="0095772D">
              <w:t>0</w:t>
            </w:r>
          </w:p>
        </w:tc>
        <w:tc>
          <w:tcPr>
            <w:tcW w:w="971" w:type="dxa"/>
            <w:vAlign w:val="center"/>
          </w:tcPr>
          <w:p w14:paraId="5F106D2B" w14:textId="77777777" w:rsidR="0018473A" w:rsidRPr="0095772D" w:rsidRDefault="0018473A" w:rsidP="007B384C">
            <w:pPr>
              <w:jc w:val="center"/>
            </w:pPr>
            <w:r w:rsidRPr="0095772D">
              <w:t>$65,</w:t>
            </w:r>
            <w:r>
              <w:t>1</w:t>
            </w:r>
            <w:r w:rsidRPr="0095772D">
              <w:t>00</w:t>
            </w:r>
          </w:p>
        </w:tc>
        <w:tc>
          <w:tcPr>
            <w:tcW w:w="971" w:type="dxa"/>
            <w:vAlign w:val="center"/>
          </w:tcPr>
          <w:p w14:paraId="1438F7F2" w14:textId="77777777" w:rsidR="0018473A" w:rsidRPr="0095772D" w:rsidRDefault="0018473A" w:rsidP="007B384C">
            <w:pPr>
              <w:jc w:val="center"/>
            </w:pPr>
            <w:r w:rsidRPr="0095772D">
              <w:t>$7</w:t>
            </w:r>
            <w:r>
              <w:t>2</w:t>
            </w:r>
            <w:r w:rsidRPr="0095772D">
              <w:t>,</w:t>
            </w:r>
            <w:r>
              <w:t>3</w:t>
            </w:r>
            <w:r w:rsidRPr="0095772D">
              <w:t>00</w:t>
            </w:r>
          </w:p>
        </w:tc>
        <w:tc>
          <w:tcPr>
            <w:tcW w:w="971" w:type="dxa"/>
            <w:vAlign w:val="center"/>
          </w:tcPr>
          <w:p w14:paraId="688CB2EA" w14:textId="77777777" w:rsidR="0018473A" w:rsidRPr="0095772D" w:rsidRDefault="0018473A" w:rsidP="007B384C">
            <w:pPr>
              <w:jc w:val="center"/>
            </w:pPr>
            <w:r w:rsidRPr="0095772D">
              <w:t>$78,</w:t>
            </w:r>
            <w:r>
              <w:t>10</w:t>
            </w:r>
            <w:r w:rsidRPr="0095772D">
              <w:t>0</w:t>
            </w:r>
          </w:p>
        </w:tc>
        <w:tc>
          <w:tcPr>
            <w:tcW w:w="971" w:type="dxa"/>
            <w:vAlign w:val="center"/>
          </w:tcPr>
          <w:p w14:paraId="78B89717" w14:textId="77777777" w:rsidR="0018473A" w:rsidRPr="0095772D" w:rsidRDefault="0018473A" w:rsidP="007B384C">
            <w:pPr>
              <w:jc w:val="center"/>
            </w:pPr>
            <w:r w:rsidRPr="0095772D">
              <w:t>$</w:t>
            </w:r>
            <w:r>
              <w:t>83,900</w:t>
            </w:r>
          </w:p>
        </w:tc>
        <w:tc>
          <w:tcPr>
            <w:tcW w:w="1051" w:type="dxa"/>
            <w:vAlign w:val="center"/>
          </w:tcPr>
          <w:p w14:paraId="5C89569F" w14:textId="77777777" w:rsidR="0018473A" w:rsidRPr="0095772D" w:rsidRDefault="0018473A" w:rsidP="007B384C">
            <w:pPr>
              <w:jc w:val="center"/>
            </w:pPr>
            <w:r w:rsidRPr="0095772D">
              <w:t>$</w:t>
            </w:r>
            <w:r>
              <w:t>89,700</w:t>
            </w:r>
          </w:p>
        </w:tc>
        <w:tc>
          <w:tcPr>
            <w:tcW w:w="1051" w:type="dxa"/>
            <w:vAlign w:val="center"/>
          </w:tcPr>
          <w:p w14:paraId="1BCD08FA" w14:textId="77777777" w:rsidR="0018473A" w:rsidRPr="0095772D" w:rsidRDefault="0018473A" w:rsidP="007B384C">
            <w:pPr>
              <w:jc w:val="center"/>
            </w:pPr>
            <w:r w:rsidRPr="0095772D">
              <w:t>$</w:t>
            </w:r>
            <w:r>
              <w:t>95,450</w:t>
            </w:r>
          </w:p>
        </w:tc>
      </w:tr>
      <w:tr w:rsidR="0018473A" w14:paraId="49974369" w14:textId="77777777" w:rsidTr="007B384C">
        <w:tc>
          <w:tcPr>
            <w:tcW w:w="1422" w:type="dxa"/>
          </w:tcPr>
          <w:p w14:paraId="19625FEE" w14:textId="77777777" w:rsidR="0018473A" w:rsidRPr="0017498C" w:rsidRDefault="0018473A" w:rsidP="007B384C">
            <w:pPr>
              <w:rPr>
                <w:b/>
                <w:bCs/>
              </w:rPr>
            </w:pPr>
            <w:r>
              <w:rPr>
                <w:b/>
                <w:bCs/>
              </w:rPr>
              <w:t>Moderate Income- (120%)</w:t>
            </w:r>
          </w:p>
        </w:tc>
        <w:tc>
          <w:tcPr>
            <w:tcW w:w="971" w:type="dxa"/>
            <w:vAlign w:val="center"/>
          </w:tcPr>
          <w:p w14:paraId="6E06F517" w14:textId="77777777" w:rsidR="0018473A" w:rsidRPr="0095772D" w:rsidRDefault="0018473A" w:rsidP="007B384C">
            <w:pPr>
              <w:jc w:val="center"/>
            </w:pPr>
            <w:r>
              <w:t>$60,120</w:t>
            </w:r>
          </w:p>
        </w:tc>
        <w:tc>
          <w:tcPr>
            <w:tcW w:w="971" w:type="dxa"/>
            <w:vAlign w:val="center"/>
          </w:tcPr>
          <w:p w14:paraId="1BF56613" w14:textId="77777777" w:rsidR="0018473A" w:rsidRPr="0095772D" w:rsidRDefault="0018473A" w:rsidP="007B384C">
            <w:pPr>
              <w:jc w:val="center"/>
            </w:pPr>
            <w:r>
              <w:t>$68,640</w:t>
            </w:r>
          </w:p>
        </w:tc>
        <w:tc>
          <w:tcPr>
            <w:tcW w:w="971" w:type="dxa"/>
            <w:vAlign w:val="center"/>
          </w:tcPr>
          <w:p w14:paraId="30599DFA" w14:textId="77777777" w:rsidR="0018473A" w:rsidRPr="0095772D" w:rsidRDefault="0018473A" w:rsidP="007B384C">
            <w:pPr>
              <w:jc w:val="center"/>
            </w:pPr>
            <w:r>
              <w:t>$77,280</w:t>
            </w:r>
          </w:p>
        </w:tc>
        <w:tc>
          <w:tcPr>
            <w:tcW w:w="971" w:type="dxa"/>
            <w:vAlign w:val="center"/>
          </w:tcPr>
          <w:p w14:paraId="790E46B3" w14:textId="77777777" w:rsidR="0018473A" w:rsidRPr="0095772D" w:rsidRDefault="0018473A" w:rsidP="007B384C">
            <w:pPr>
              <w:jc w:val="center"/>
            </w:pPr>
            <w:r>
              <w:t>$85,800</w:t>
            </w:r>
          </w:p>
        </w:tc>
        <w:tc>
          <w:tcPr>
            <w:tcW w:w="971" w:type="dxa"/>
            <w:vAlign w:val="center"/>
          </w:tcPr>
          <w:p w14:paraId="33BB3AC9" w14:textId="77777777" w:rsidR="0018473A" w:rsidRPr="0095772D" w:rsidRDefault="0018473A" w:rsidP="007B384C">
            <w:pPr>
              <w:jc w:val="center"/>
            </w:pPr>
            <w:r>
              <w:t>$92,760</w:t>
            </w:r>
          </w:p>
        </w:tc>
        <w:tc>
          <w:tcPr>
            <w:tcW w:w="971" w:type="dxa"/>
            <w:vAlign w:val="center"/>
          </w:tcPr>
          <w:p w14:paraId="30CB114E" w14:textId="77777777" w:rsidR="0018473A" w:rsidRPr="0095772D" w:rsidRDefault="0018473A" w:rsidP="007B384C">
            <w:pPr>
              <w:jc w:val="center"/>
            </w:pPr>
            <w:r>
              <w:t>$99,600</w:t>
            </w:r>
          </w:p>
        </w:tc>
        <w:tc>
          <w:tcPr>
            <w:tcW w:w="1051" w:type="dxa"/>
            <w:vAlign w:val="center"/>
          </w:tcPr>
          <w:p w14:paraId="7963A078" w14:textId="77777777" w:rsidR="0018473A" w:rsidRPr="0095772D" w:rsidRDefault="0018473A" w:rsidP="007B384C">
            <w:pPr>
              <w:jc w:val="center"/>
            </w:pPr>
            <w:r>
              <w:t>$106,440</w:t>
            </w:r>
          </w:p>
        </w:tc>
        <w:tc>
          <w:tcPr>
            <w:tcW w:w="1051" w:type="dxa"/>
            <w:vAlign w:val="center"/>
          </w:tcPr>
          <w:p w14:paraId="7E101234" w14:textId="77777777" w:rsidR="0018473A" w:rsidRPr="0095772D" w:rsidRDefault="0018473A" w:rsidP="007B384C">
            <w:pPr>
              <w:jc w:val="center"/>
            </w:pPr>
            <w:r>
              <w:t>$113,280</w:t>
            </w:r>
          </w:p>
        </w:tc>
      </w:tr>
    </w:tbl>
    <w:p w14:paraId="55AB946D" w14:textId="77777777" w:rsidR="00927588" w:rsidRDefault="00927588" w:rsidP="001E75A9">
      <w:pPr>
        <w:pStyle w:val="Default"/>
        <w:spacing w:before="100" w:after="100"/>
        <w:jc w:val="both"/>
        <w:rPr>
          <w:rFonts w:ascii="Arial" w:eastAsia="MS Mincho" w:hAnsi="Arial" w:cs="Arial"/>
        </w:rPr>
      </w:pPr>
    </w:p>
    <w:p w14:paraId="326A01D3" w14:textId="77777777" w:rsidR="00E53C29" w:rsidRPr="007577FF" w:rsidRDefault="00E53C29">
      <w:pPr>
        <w:rPr>
          <w:b/>
          <w:sz w:val="28"/>
          <w:szCs w:val="28"/>
        </w:rPr>
      </w:pPr>
      <w:r w:rsidRPr="007577FF">
        <w:rPr>
          <w:b/>
          <w:sz w:val="28"/>
          <w:szCs w:val="28"/>
        </w:rPr>
        <w:t>What kind of assistance is available?</w:t>
      </w:r>
    </w:p>
    <w:p w14:paraId="52620EB7" w14:textId="7F5380BE" w:rsidR="00F6273E" w:rsidRDefault="00E90F76" w:rsidP="00C13D9C">
      <w:pPr>
        <w:jc w:val="both"/>
      </w:pPr>
      <w:r>
        <w:t>Income-eligible households</w:t>
      </w:r>
      <w:r w:rsidR="007D5E63">
        <w:t xml:space="preserve"> may receive between $40,000 to $150</w:t>
      </w:r>
      <w:r w:rsidR="007D5E63" w:rsidRPr="002966C3">
        <w:t xml:space="preserve">,000 </w:t>
      </w:r>
      <w:r w:rsidR="007D5E63">
        <w:t>in down payment assistance</w:t>
      </w:r>
      <w:r>
        <w:t>,</w:t>
      </w:r>
      <w:r w:rsidR="007D5E63">
        <w:t xml:space="preserve"> depend</w:t>
      </w:r>
      <w:r>
        <w:t>ing</w:t>
      </w:r>
      <w:r w:rsidR="007D5E63">
        <w:t xml:space="preserve"> on their household income and as delineated in the City’s Local Housing Assistance Plan (LHAP) availability of funding</w:t>
      </w:r>
      <w:r w:rsidR="007D5E63" w:rsidRPr="002966C3">
        <w:t>.</w:t>
      </w:r>
      <w:r w:rsidR="007D5E63">
        <w:t xml:space="preserve"> </w:t>
      </w:r>
      <w:r w:rsidR="0028228A">
        <w:t xml:space="preserve">Funds are provided to eligible </w:t>
      </w:r>
      <w:r w:rsidR="00E454D4">
        <w:t>resident</w:t>
      </w:r>
      <w:r w:rsidR="0028228A">
        <w:t xml:space="preserve">s as a </w:t>
      </w:r>
      <w:r w:rsidR="00846535">
        <w:t xml:space="preserve">deferred </w:t>
      </w:r>
      <w:r w:rsidR="0028228A">
        <w:t xml:space="preserve">forgivable loan that is secured by a </w:t>
      </w:r>
      <w:r w:rsidR="00846535">
        <w:t xml:space="preserve">lien and </w:t>
      </w:r>
      <w:r w:rsidR="0028228A">
        <w:t xml:space="preserve">restrictive covenant on the property. </w:t>
      </w:r>
      <w:r w:rsidR="00C13D9C">
        <w:t xml:space="preserve"> </w:t>
      </w:r>
      <w:r w:rsidR="0028228A">
        <w:t xml:space="preserve">If the homeowner continues to reside in </w:t>
      </w:r>
      <w:r w:rsidR="006C7670">
        <w:t>the</w:t>
      </w:r>
      <w:r w:rsidR="0028228A">
        <w:t xml:space="preserve"> home for 15 years, the full amount is forgiven. If </w:t>
      </w:r>
      <w:r w:rsidR="00846535">
        <w:t>the homeowner sells, rents, or refinances his/her property or the property is no longer the primary residence prior to the 15-year affordability period, he/she must repay the City the value of the assistance</w:t>
      </w:r>
      <w:r w:rsidR="00E454D4">
        <w:t xml:space="preserve"> plus </w:t>
      </w:r>
      <w:r w:rsidR="00E454D4" w:rsidRPr="00E454D4">
        <w:t xml:space="preserve">applicable profit sharing as noted in the </w:t>
      </w:r>
      <w:r w:rsidR="006C7670">
        <w:t xml:space="preserve">Promissory Note, </w:t>
      </w:r>
      <w:r w:rsidR="0050349D" w:rsidRPr="0050349D">
        <w:t>Restrictive Covenant and Mortgage executed at the time of program award and property acquisition</w:t>
      </w:r>
      <w:r w:rsidR="0028228A" w:rsidRPr="0050349D">
        <w:t>.</w:t>
      </w:r>
      <w:r w:rsidR="0050349D">
        <w:t xml:space="preserve"> </w:t>
      </w:r>
    </w:p>
    <w:p w14:paraId="27D4C888" w14:textId="3B501EA2" w:rsidR="0028228A" w:rsidRPr="0050349D" w:rsidRDefault="0050349D" w:rsidP="00C13D9C">
      <w:pPr>
        <w:jc w:val="both"/>
      </w:pPr>
      <w:r>
        <w:t>Please further note that SHIP guidelines require that a portion of awarded funds be utilized for construction-related expenses</w:t>
      </w:r>
      <w:r w:rsidR="00A222F3">
        <w:t xml:space="preserve"> that are incurred within 45 days of closing</w:t>
      </w:r>
      <w:r>
        <w:t>.</w:t>
      </w:r>
    </w:p>
    <w:p w14:paraId="277F92B3" w14:textId="390206A0" w:rsidR="00826D46" w:rsidRDefault="0011040C" w:rsidP="008B002E">
      <w:pPr>
        <w:jc w:val="both"/>
      </w:pPr>
      <w:r>
        <w:t>Program funds are contingent upon availability</w:t>
      </w:r>
      <w:r w:rsidR="00E454D4">
        <w:t xml:space="preserve"> and will be released in accordance with the income eligibility distributions required for each funding source</w:t>
      </w:r>
      <w:r w:rsidR="008B002E">
        <w:t>.</w:t>
      </w:r>
    </w:p>
    <w:p w14:paraId="2AC96851" w14:textId="77777777" w:rsidR="00E90F76" w:rsidRPr="007577FF" w:rsidRDefault="00E90F76" w:rsidP="00E90F76">
      <w:pPr>
        <w:rPr>
          <w:b/>
          <w:sz w:val="28"/>
          <w:szCs w:val="28"/>
        </w:rPr>
      </w:pPr>
      <w:r w:rsidRPr="007577FF">
        <w:rPr>
          <w:b/>
          <w:sz w:val="28"/>
          <w:szCs w:val="28"/>
        </w:rPr>
        <w:lastRenderedPageBreak/>
        <w:t xml:space="preserve">How much money can I </w:t>
      </w:r>
      <w:r>
        <w:rPr>
          <w:b/>
          <w:sz w:val="28"/>
          <w:szCs w:val="28"/>
        </w:rPr>
        <w:t>receive for down payment assistance</w:t>
      </w:r>
      <w:r w:rsidRPr="007577FF">
        <w:rPr>
          <w:b/>
          <w:sz w:val="28"/>
          <w:szCs w:val="28"/>
        </w:rPr>
        <w:t>?</w:t>
      </w:r>
    </w:p>
    <w:p w14:paraId="0BB3B648" w14:textId="601E75FA" w:rsidR="00E90F76" w:rsidRDefault="00E90F76" w:rsidP="00E90F76">
      <w:pPr>
        <w:jc w:val="both"/>
      </w:pPr>
      <w:r>
        <w:t>Prospective homeowners may receive between $40,000 to $150</w:t>
      </w:r>
      <w:r w:rsidRPr="002966C3">
        <w:t xml:space="preserve">,000 </w:t>
      </w:r>
      <w:r>
        <w:t xml:space="preserve">in down payment assistance dependent on their household income and as delineated in the City’s Local Housing Assistance Plan (LHAP) </w:t>
      </w:r>
      <w:r w:rsidR="00A222F3">
        <w:t xml:space="preserve">the </w:t>
      </w:r>
      <w:r>
        <w:t>availability of funding</w:t>
      </w:r>
      <w:r w:rsidRPr="002966C3">
        <w:t>.</w:t>
      </w:r>
      <w:r>
        <w:t xml:space="preserve"> </w:t>
      </w:r>
      <w:r w:rsidR="00A222F3">
        <w:t>Upon purchase, p</w:t>
      </w:r>
      <w:r>
        <w:t>rospective homeowners must reside in the home for which assistance is being sought. As a reminder, prospective homeowners must p</w:t>
      </w:r>
      <w:r w:rsidRPr="005B1FA6">
        <w:t xml:space="preserve">rovide a minimum of two (2) percent of the target property’s value </w:t>
      </w:r>
      <w:r>
        <w:t>of</w:t>
      </w:r>
      <w:r w:rsidRPr="005B1FA6">
        <w:t xml:space="preserve"> their own funds as down payment</w:t>
      </w:r>
      <w:r>
        <w:t>.</w:t>
      </w:r>
    </w:p>
    <w:p w14:paraId="0864AD3E" w14:textId="69EC687F" w:rsidR="00E90F76" w:rsidRDefault="00E90F76" w:rsidP="00E90F76">
      <w:pPr>
        <w:jc w:val="both"/>
      </w:pPr>
      <w:r>
        <w:t>The HOME program will award a maximum of $40,000</w:t>
      </w:r>
      <w:r w:rsidR="00A222F3">
        <w:t xml:space="preserve"> in down payment assistance</w:t>
      </w:r>
      <w:r>
        <w:t xml:space="preserve"> for households earning up to 80% AMI</w:t>
      </w:r>
      <w:r w:rsidR="00A222F3">
        <w:t>, contingent on funds availability</w:t>
      </w:r>
      <w:r>
        <w:t xml:space="preserve">. </w:t>
      </w:r>
    </w:p>
    <w:p w14:paraId="1956E922" w14:textId="32E08DC4" w:rsidR="00E90F76" w:rsidRDefault="00A222F3" w:rsidP="00E90F76">
      <w:pPr>
        <w:jc w:val="both"/>
      </w:pPr>
      <w:r>
        <w:t xml:space="preserve">The </w:t>
      </w:r>
      <w:r w:rsidR="00E90F76">
        <w:t xml:space="preserve">SHIP </w:t>
      </w:r>
      <w:r>
        <w:t>Program</w:t>
      </w:r>
      <w:r w:rsidR="00E90F76">
        <w:t xml:space="preserve"> will award funds (</w:t>
      </w:r>
      <w:r>
        <w:t xml:space="preserve">contingent </w:t>
      </w:r>
      <w:r w:rsidR="00E90F76">
        <w:t xml:space="preserve">upon availability) </w:t>
      </w:r>
      <w:r>
        <w:t>based on income limits as follows</w:t>
      </w:r>
      <w:r w:rsidR="00E90F76">
        <w:t>:</w:t>
      </w:r>
    </w:p>
    <w:p w14:paraId="363A8D60" w14:textId="77777777" w:rsidR="00E90F76" w:rsidRPr="00841543" w:rsidRDefault="00E90F76" w:rsidP="00E90F76">
      <w:pPr>
        <w:widowControl w:val="0"/>
        <w:jc w:val="both"/>
        <w:rPr>
          <w:rFonts w:ascii="Calibri" w:hAnsi="Calibri" w:cs="Calibri"/>
        </w:rPr>
      </w:pPr>
      <w:r>
        <w:rPr>
          <w:rFonts w:ascii="Calibri" w:eastAsia="Arial" w:hAnsi="Calibri" w:cs="Calibri"/>
          <w:b/>
          <w:bCs/>
        </w:rPr>
        <w:tab/>
      </w:r>
      <w:r>
        <w:rPr>
          <w:rFonts w:ascii="Calibri" w:eastAsia="Arial" w:hAnsi="Calibri" w:cs="Calibri"/>
          <w:b/>
          <w:bCs/>
        </w:rPr>
        <w:tab/>
      </w:r>
      <w:r>
        <w:rPr>
          <w:rFonts w:ascii="Calibri" w:eastAsia="Arial" w:hAnsi="Calibri" w:cs="Calibri"/>
          <w:b/>
          <w:bCs/>
        </w:rPr>
        <w:tab/>
      </w:r>
      <w:r>
        <w:rPr>
          <w:rFonts w:ascii="Calibri" w:eastAsia="Arial" w:hAnsi="Calibri" w:cs="Calibri"/>
          <w:b/>
          <w:bCs/>
        </w:rPr>
        <w:tab/>
        <w:t xml:space="preserve">SHIP </w:t>
      </w:r>
      <w:r w:rsidRPr="00841543">
        <w:rPr>
          <w:rFonts w:ascii="Calibri" w:eastAsia="Arial" w:hAnsi="Calibri" w:cs="Calibri"/>
          <w:b/>
          <w:bCs/>
        </w:rPr>
        <w:t>Maximum award</w:t>
      </w:r>
      <w:r>
        <w:rPr>
          <w:rFonts w:ascii="Calibri" w:eastAsia="Arial" w:hAnsi="Calibri" w:cs="Calibri"/>
          <w:b/>
          <w:bCs/>
        </w:rPr>
        <w:t xml:space="preserve"> amounts</w:t>
      </w:r>
      <w:r w:rsidRPr="00841543">
        <w:rPr>
          <w:rFonts w:ascii="Calibri" w:eastAsia="Arial" w:hAnsi="Calibri" w:cs="Calibri"/>
          <w:b/>
          <w:bCs/>
        </w:rPr>
        <w:t xml:space="preserve">: </w:t>
      </w:r>
    </w:p>
    <w:p w14:paraId="7F4E7569" w14:textId="77777777" w:rsidR="00E90F76" w:rsidRPr="00841543" w:rsidRDefault="00E90F76" w:rsidP="00E90F76">
      <w:pPr>
        <w:widowControl w:val="0"/>
        <w:spacing w:line="360" w:lineRule="auto"/>
        <w:ind w:left="2160" w:firstLine="720"/>
        <w:jc w:val="both"/>
        <w:rPr>
          <w:rFonts w:ascii="Calibri" w:hAnsi="Calibri" w:cs="Calibri"/>
        </w:rPr>
      </w:pPr>
      <w:r w:rsidRPr="00841543">
        <w:rPr>
          <w:rFonts w:ascii="Calibri" w:eastAsia="Arial" w:hAnsi="Calibri" w:cs="Calibri"/>
          <w:b/>
          <w:bCs/>
        </w:rPr>
        <w:t>1.</w:t>
      </w:r>
      <w:r w:rsidRPr="00841543">
        <w:rPr>
          <w:rFonts w:ascii="Calibri" w:eastAsia="Arial" w:hAnsi="Calibri" w:cs="Calibri"/>
        </w:rPr>
        <w:t xml:space="preserve"> </w:t>
      </w:r>
      <w:r w:rsidRPr="00841543">
        <w:rPr>
          <w:rFonts w:ascii="Calibri" w:eastAsia="Arial" w:hAnsi="Calibri" w:cs="Calibri"/>
          <w:b/>
          <w:bCs/>
        </w:rPr>
        <w:t xml:space="preserve"> </w:t>
      </w:r>
      <w:r w:rsidRPr="00841543">
        <w:rPr>
          <w:rFonts w:ascii="Calibri" w:eastAsia="Arial" w:hAnsi="Calibri" w:cs="Calibri"/>
        </w:rPr>
        <w:t>$50,000</w:t>
      </w:r>
      <w:r w:rsidRPr="00841543">
        <w:rPr>
          <w:rFonts w:ascii="Calibri" w:eastAsia="Arial" w:hAnsi="Calibri" w:cs="Calibri"/>
          <w:b/>
          <w:bCs/>
        </w:rPr>
        <w:t xml:space="preserve"> </w:t>
      </w:r>
      <w:r w:rsidRPr="00841543">
        <w:rPr>
          <w:rFonts w:ascii="Calibri" w:eastAsia="Arial" w:hAnsi="Calibri" w:cs="Calibri"/>
        </w:rPr>
        <w:t xml:space="preserve">(Moderate-Income) </w:t>
      </w:r>
    </w:p>
    <w:p w14:paraId="7FFB3FAB" w14:textId="28DE9D37" w:rsidR="00E90F76" w:rsidRPr="00841543" w:rsidRDefault="00E90F76" w:rsidP="00E90F76">
      <w:pPr>
        <w:widowControl w:val="0"/>
        <w:spacing w:line="360" w:lineRule="auto"/>
        <w:ind w:left="2160" w:firstLine="720"/>
        <w:jc w:val="both"/>
        <w:rPr>
          <w:rFonts w:ascii="Calibri" w:hAnsi="Calibri" w:cs="Calibri"/>
        </w:rPr>
      </w:pPr>
      <w:r w:rsidRPr="00841543">
        <w:rPr>
          <w:rFonts w:ascii="Calibri" w:eastAsia="Arial" w:hAnsi="Calibri" w:cs="Calibri"/>
          <w:b/>
          <w:bCs/>
        </w:rPr>
        <w:t>2.</w:t>
      </w:r>
      <w:r w:rsidRPr="00841543">
        <w:rPr>
          <w:rFonts w:ascii="Calibri" w:eastAsia="Arial" w:hAnsi="Calibri" w:cs="Calibri"/>
        </w:rPr>
        <w:t xml:space="preserve"> </w:t>
      </w:r>
      <w:r w:rsidRPr="00841543">
        <w:rPr>
          <w:rFonts w:ascii="Calibri" w:eastAsia="Arial" w:hAnsi="Calibri" w:cs="Calibri"/>
          <w:b/>
          <w:bCs/>
        </w:rPr>
        <w:t xml:space="preserve"> </w:t>
      </w:r>
      <w:r w:rsidRPr="00841543">
        <w:rPr>
          <w:rFonts w:ascii="Calibri" w:eastAsia="Arial" w:hAnsi="Calibri" w:cs="Calibri"/>
        </w:rPr>
        <w:t>$100,000</w:t>
      </w:r>
      <w:r w:rsidRPr="00841543">
        <w:rPr>
          <w:rFonts w:ascii="Calibri" w:eastAsia="Arial" w:hAnsi="Calibri" w:cs="Calibri"/>
          <w:b/>
          <w:bCs/>
        </w:rPr>
        <w:t xml:space="preserve"> </w:t>
      </w:r>
      <w:r w:rsidRPr="00841543">
        <w:rPr>
          <w:rFonts w:ascii="Calibri" w:eastAsia="Arial" w:hAnsi="Calibri" w:cs="Calibri"/>
        </w:rPr>
        <w:t>(Low</w:t>
      </w:r>
      <w:r w:rsidR="00A222F3">
        <w:rPr>
          <w:rFonts w:ascii="Calibri" w:eastAsia="Arial" w:hAnsi="Calibri" w:cs="Calibri"/>
        </w:rPr>
        <w:t>-</w:t>
      </w:r>
      <w:r w:rsidRPr="00841543">
        <w:rPr>
          <w:rFonts w:ascii="Calibri" w:eastAsia="Arial" w:hAnsi="Calibri" w:cs="Calibri"/>
        </w:rPr>
        <w:t xml:space="preserve">and Very Low-Income) </w:t>
      </w:r>
    </w:p>
    <w:p w14:paraId="64C66D25" w14:textId="77777777" w:rsidR="00E90F76" w:rsidRPr="008B002E" w:rsidRDefault="00E90F76" w:rsidP="00E90F76">
      <w:pPr>
        <w:widowControl w:val="0"/>
        <w:spacing w:line="360" w:lineRule="auto"/>
        <w:ind w:left="2160" w:firstLine="720"/>
        <w:jc w:val="both"/>
        <w:rPr>
          <w:rFonts w:ascii="Calibri" w:hAnsi="Calibri" w:cs="Calibri"/>
        </w:rPr>
      </w:pPr>
      <w:r w:rsidRPr="00841543">
        <w:rPr>
          <w:rFonts w:ascii="Calibri" w:eastAsia="Arial" w:hAnsi="Calibri" w:cs="Calibri"/>
          <w:b/>
          <w:bCs/>
        </w:rPr>
        <w:t>3.</w:t>
      </w:r>
      <w:r w:rsidRPr="00841543">
        <w:rPr>
          <w:rFonts w:ascii="Calibri" w:eastAsia="Arial" w:hAnsi="Calibri" w:cs="Calibri"/>
        </w:rPr>
        <w:t xml:space="preserve"> $150,000 (Extremely Low-Income)</w:t>
      </w:r>
    </w:p>
    <w:p w14:paraId="2B55FF2E" w14:textId="77777777" w:rsidR="00E90F76" w:rsidRPr="007577FF" w:rsidRDefault="00E90F76" w:rsidP="00E90F76">
      <w:pPr>
        <w:rPr>
          <w:b/>
          <w:sz w:val="28"/>
          <w:szCs w:val="28"/>
        </w:rPr>
      </w:pPr>
      <w:r w:rsidRPr="007577FF">
        <w:rPr>
          <w:b/>
          <w:sz w:val="28"/>
          <w:szCs w:val="28"/>
        </w:rPr>
        <w:t xml:space="preserve">Do I have to put any of my money into </w:t>
      </w:r>
      <w:r>
        <w:rPr>
          <w:b/>
          <w:sz w:val="28"/>
          <w:szCs w:val="28"/>
        </w:rPr>
        <w:t>the purchase of the home</w:t>
      </w:r>
      <w:r w:rsidRPr="007577FF">
        <w:rPr>
          <w:b/>
          <w:sz w:val="28"/>
          <w:szCs w:val="28"/>
        </w:rPr>
        <w:t>?</w:t>
      </w:r>
    </w:p>
    <w:p w14:paraId="1D2B6047" w14:textId="250C6037" w:rsidR="00E90F76" w:rsidRPr="00F6273E" w:rsidRDefault="00E90F76" w:rsidP="00E90F76">
      <w:pPr>
        <w:jc w:val="both"/>
      </w:pPr>
      <w:r>
        <w:t>Yes, prospective homeowners must contribute a minimum of two (2) percent of the value of the purchased property as down payment at the time of closing.  Assisted properties cannot be used as rental properties.</w:t>
      </w:r>
      <w:r w:rsidR="00DD506F">
        <w:t xml:space="preserve"> As a reminder, down payment funds must be verifiable.</w:t>
      </w:r>
    </w:p>
    <w:p w14:paraId="24195218" w14:textId="77777777" w:rsidR="00E90F76" w:rsidRPr="00785D12" w:rsidRDefault="00E90F76" w:rsidP="00E90F76">
      <w:pPr>
        <w:rPr>
          <w:b/>
          <w:sz w:val="28"/>
          <w:szCs w:val="28"/>
        </w:rPr>
      </w:pPr>
      <w:r w:rsidRPr="00785D12">
        <w:rPr>
          <w:b/>
          <w:sz w:val="28"/>
          <w:szCs w:val="28"/>
        </w:rPr>
        <w:t>Do I have to repay these funds?</w:t>
      </w:r>
    </w:p>
    <w:p w14:paraId="7A6F3570" w14:textId="045CEB14" w:rsidR="00E90F76" w:rsidRDefault="00E90F76" w:rsidP="00E90F76">
      <w:pPr>
        <w:jc w:val="both"/>
      </w:pPr>
      <w:r>
        <w:t xml:space="preserve">No, funds do not have to be repaid </w:t>
      </w:r>
      <w:proofErr w:type="gramStart"/>
      <w:r>
        <w:t>as long as</w:t>
      </w:r>
      <w:proofErr w:type="gramEnd"/>
      <w:r>
        <w:t xml:space="preserve"> </w:t>
      </w:r>
      <w:r w:rsidR="00DD506F">
        <w:t>the assisted property is</w:t>
      </w:r>
      <w:r>
        <w:t xml:space="preserve"> maintained as the applicant’s homesteaded residence for the 15-year affordability period. However, you must ensure that your property continues to comply with all </w:t>
      </w:r>
      <w:r w:rsidR="00DD506F">
        <w:t>City, County and State</w:t>
      </w:r>
      <w:r>
        <w:t xml:space="preserve"> rules</w:t>
      </w:r>
      <w:r w:rsidR="00DD506F">
        <w:t xml:space="preserve">, </w:t>
      </w:r>
      <w:proofErr w:type="gramStart"/>
      <w:r w:rsidR="00DD506F">
        <w:t>ordinances</w:t>
      </w:r>
      <w:proofErr w:type="gramEnd"/>
      <w:r w:rsidR="00DD506F">
        <w:t xml:space="preserve"> and laws</w:t>
      </w:r>
      <w:r>
        <w:t xml:space="preserve"> during the affordability period.</w:t>
      </w:r>
    </w:p>
    <w:p w14:paraId="461CAAE8" w14:textId="7BB3078C" w:rsidR="00E90F76" w:rsidRPr="008B002E" w:rsidRDefault="00E90F76" w:rsidP="008B002E">
      <w:pPr>
        <w:jc w:val="both"/>
      </w:pPr>
      <w:r w:rsidRPr="005B1FA6">
        <w:t>If</w:t>
      </w:r>
      <w:r>
        <w:t>, however,</w:t>
      </w:r>
      <w:r w:rsidRPr="005B1FA6">
        <w:t xml:space="preserve"> a homeowner sells, rents, or refinances his/her property or the property is no longer the primary residence prior to the 15-year affordability period, he/she must repay the City the value of the assistance plus applicable profit sharing as defined in the City’s </w:t>
      </w:r>
      <w:r w:rsidRPr="005B1FA6">
        <w:rPr>
          <w:i/>
        </w:rPr>
        <w:t>Local Housing Assistance Plan</w:t>
      </w:r>
      <w:r>
        <w:t xml:space="preserve"> (LHAP). A copy of the P</w:t>
      </w:r>
      <w:r w:rsidRPr="005B1FA6">
        <w:t xml:space="preserve">lan is provided online at the City’s website: </w:t>
      </w:r>
      <w:hyperlink r:id="rId9" w:history="1">
        <w:r w:rsidRPr="00CD1944">
          <w:rPr>
            <w:rStyle w:val="Hyperlink"/>
          </w:rPr>
          <w:t>www.miamibeachfl.gov</w:t>
        </w:r>
      </w:hyperlink>
      <w:r>
        <w:t xml:space="preserve"> </w:t>
      </w:r>
    </w:p>
    <w:p w14:paraId="06E08014" w14:textId="77777777" w:rsidR="00DD506F" w:rsidRDefault="00DD506F">
      <w:pPr>
        <w:rPr>
          <w:b/>
          <w:sz w:val="28"/>
          <w:szCs w:val="28"/>
        </w:rPr>
      </w:pPr>
    </w:p>
    <w:p w14:paraId="6783A669" w14:textId="77777777" w:rsidR="00DD506F" w:rsidRDefault="00DD506F">
      <w:pPr>
        <w:rPr>
          <w:b/>
          <w:sz w:val="28"/>
          <w:szCs w:val="28"/>
        </w:rPr>
      </w:pPr>
    </w:p>
    <w:p w14:paraId="08AE9D68" w14:textId="77777777" w:rsidR="00DD506F" w:rsidRDefault="00DD506F">
      <w:pPr>
        <w:rPr>
          <w:b/>
          <w:sz w:val="28"/>
          <w:szCs w:val="28"/>
        </w:rPr>
      </w:pPr>
    </w:p>
    <w:p w14:paraId="0867A3FC" w14:textId="4093FF1C" w:rsidR="00E53C29" w:rsidRPr="007577FF" w:rsidRDefault="00E53C29">
      <w:pPr>
        <w:rPr>
          <w:b/>
          <w:sz w:val="28"/>
          <w:szCs w:val="28"/>
        </w:rPr>
      </w:pPr>
      <w:r w:rsidRPr="007577FF">
        <w:rPr>
          <w:b/>
          <w:sz w:val="28"/>
          <w:szCs w:val="28"/>
        </w:rPr>
        <w:lastRenderedPageBreak/>
        <w:t>How do I apply for assistance?</w:t>
      </w:r>
    </w:p>
    <w:p w14:paraId="359297BD" w14:textId="77777777" w:rsidR="00A946B9" w:rsidRDefault="00A946B9" w:rsidP="0028228A">
      <w:pPr>
        <w:jc w:val="both"/>
      </w:pPr>
      <w:r w:rsidRPr="00E90F76">
        <w:rPr>
          <w:b/>
          <w:bCs/>
          <w:sz w:val="28"/>
          <w:szCs w:val="28"/>
        </w:rPr>
        <w:t>Step 1</w:t>
      </w:r>
      <w:r>
        <w:t xml:space="preserve">: </w:t>
      </w:r>
      <w:r w:rsidRPr="00E90F76">
        <w:rPr>
          <w:b/>
          <w:bCs/>
          <w:sz w:val="28"/>
          <w:szCs w:val="28"/>
        </w:rPr>
        <w:t>Application</w:t>
      </w:r>
    </w:p>
    <w:p w14:paraId="0B0AC1CF" w14:textId="1D5DE122" w:rsidR="00E53C29" w:rsidRDefault="0028228A" w:rsidP="0028228A">
      <w:pPr>
        <w:jc w:val="both"/>
      </w:pPr>
      <w:proofErr w:type="gramStart"/>
      <w:r>
        <w:t>In order to</w:t>
      </w:r>
      <w:proofErr w:type="gramEnd"/>
      <w:r>
        <w:t xml:space="preserve"> apply for assistance, eligible </w:t>
      </w:r>
      <w:r w:rsidR="00E454D4">
        <w:t>resident</w:t>
      </w:r>
      <w:r>
        <w:t xml:space="preserve">s must </w:t>
      </w:r>
      <w:r w:rsidR="0011040C">
        <w:t xml:space="preserve">be a United States citizen or resident who </w:t>
      </w:r>
      <w:r>
        <w:t xml:space="preserve">complete and submit an </w:t>
      </w:r>
      <w:r w:rsidRPr="0011040C">
        <w:rPr>
          <w:i/>
        </w:rPr>
        <w:t>Eligibility Application</w:t>
      </w:r>
      <w:r>
        <w:t xml:space="preserve"> and the following documentation:</w:t>
      </w:r>
    </w:p>
    <w:p w14:paraId="36B9CBB6" w14:textId="77777777" w:rsidR="0028228A" w:rsidRDefault="0011040C" w:rsidP="0028228A">
      <w:pPr>
        <w:pStyle w:val="ListParagraph"/>
        <w:numPr>
          <w:ilvl w:val="0"/>
          <w:numId w:val="1"/>
        </w:numPr>
        <w:jc w:val="both"/>
      </w:pPr>
      <w:r>
        <w:t xml:space="preserve">Copy of valid state-issued identification for </w:t>
      </w:r>
      <w:r w:rsidR="00E454D4">
        <w:t xml:space="preserve">prospective </w:t>
      </w:r>
      <w:r>
        <w:t>homeowner(s)</w:t>
      </w:r>
    </w:p>
    <w:p w14:paraId="10C8D0B9" w14:textId="77777777" w:rsidR="0011040C" w:rsidRDefault="0011040C" w:rsidP="0028228A">
      <w:pPr>
        <w:pStyle w:val="ListParagraph"/>
        <w:numPr>
          <w:ilvl w:val="0"/>
          <w:numId w:val="1"/>
        </w:numPr>
        <w:jc w:val="both"/>
      </w:pPr>
      <w:r>
        <w:t xml:space="preserve">Copy of Social Security card for </w:t>
      </w:r>
      <w:r w:rsidR="00E454D4">
        <w:t xml:space="preserve">prospective </w:t>
      </w:r>
      <w:r>
        <w:t>homeowner(s)</w:t>
      </w:r>
      <w:r w:rsidR="00297ADF">
        <w:t xml:space="preserve"> and </w:t>
      </w:r>
      <w:proofErr w:type="gramStart"/>
      <w:r w:rsidR="00846535">
        <w:t>other</w:t>
      </w:r>
      <w:proofErr w:type="gramEnd"/>
      <w:r w:rsidR="00297ADF">
        <w:t xml:space="preserve"> household members</w:t>
      </w:r>
    </w:p>
    <w:p w14:paraId="72F8EE21" w14:textId="4B5FA76D" w:rsidR="00F6273E" w:rsidRDefault="00F6273E" w:rsidP="00F6273E">
      <w:pPr>
        <w:pStyle w:val="ListParagraph"/>
        <w:numPr>
          <w:ilvl w:val="0"/>
          <w:numId w:val="1"/>
        </w:numPr>
        <w:jc w:val="both"/>
      </w:pPr>
      <w:r>
        <w:t>Marriage/Domestic Partnership certificates, Divorce Decree (if applicable)</w:t>
      </w:r>
    </w:p>
    <w:p w14:paraId="356F626F" w14:textId="77777777" w:rsidR="00F6273E" w:rsidRDefault="00F6273E" w:rsidP="00F6273E">
      <w:pPr>
        <w:pStyle w:val="ListParagraph"/>
        <w:numPr>
          <w:ilvl w:val="0"/>
          <w:numId w:val="1"/>
        </w:numPr>
        <w:jc w:val="both"/>
      </w:pPr>
      <w:r>
        <w:t xml:space="preserve">Birth certificates </w:t>
      </w:r>
    </w:p>
    <w:p w14:paraId="0D200D8D" w14:textId="77777777" w:rsidR="00F6273E" w:rsidRDefault="00F6273E" w:rsidP="00F6273E">
      <w:pPr>
        <w:pStyle w:val="ListParagraph"/>
        <w:numPr>
          <w:ilvl w:val="0"/>
          <w:numId w:val="1"/>
        </w:numPr>
        <w:jc w:val="both"/>
      </w:pPr>
      <w:r>
        <w:t>Financial records for past 6 months</w:t>
      </w:r>
    </w:p>
    <w:p w14:paraId="21B489CE" w14:textId="1D6C7650" w:rsidR="00F6273E" w:rsidRDefault="00F6273E" w:rsidP="00F6273E">
      <w:pPr>
        <w:pStyle w:val="ListParagraph"/>
        <w:numPr>
          <w:ilvl w:val="0"/>
          <w:numId w:val="1"/>
        </w:numPr>
        <w:jc w:val="both"/>
      </w:pPr>
      <w:r>
        <w:t>Disability and pension awards, if applicable</w:t>
      </w:r>
    </w:p>
    <w:p w14:paraId="2617646D" w14:textId="77777777" w:rsidR="00F6273E" w:rsidRDefault="00F6273E" w:rsidP="00F6273E">
      <w:pPr>
        <w:pStyle w:val="ListParagraph"/>
        <w:numPr>
          <w:ilvl w:val="0"/>
          <w:numId w:val="1"/>
        </w:numPr>
        <w:jc w:val="both"/>
      </w:pPr>
      <w:r>
        <w:t xml:space="preserve">Evidence of all assets (including investments, real </w:t>
      </w:r>
      <w:proofErr w:type="gramStart"/>
      <w:r>
        <w:t>property</w:t>
      </w:r>
      <w:proofErr w:type="gramEnd"/>
      <w:r>
        <w:t xml:space="preserve"> and cash)</w:t>
      </w:r>
    </w:p>
    <w:p w14:paraId="6A74731A" w14:textId="77777777" w:rsidR="00F6273E" w:rsidRDefault="00F6273E" w:rsidP="00F6273E">
      <w:pPr>
        <w:pStyle w:val="ListParagraph"/>
        <w:numPr>
          <w:ilvl w:val="0"/>
          <w:numId w:val="1"/>
        </w:numPr>
        <w:jc w:val="both"/>
      </w:pPr>
      <w:r>
        <w:t>Current household expenses</w:t>
      </w:r>
    </w:p>
    <w:p w14:paraId="62A38633" w14:textId="10708D8E" w:rsidR="00F6273E" w:rsidRDefault="00F6273E" w:rsidP="00F6273E">
      <w:pPr>
        <w:pStyle w:val="ListParagraph"/>
        <w:numPr>
          <w:ilvl w:val="0"/>
          <w:numId w:val="1"/>
        </w:numPr>
        <w:jc w:val="both"/>
      </w:pPr>
      <w:r>
        <w:t>Current debt service (credit cards, loans, leases, etc.)</w:t>
      </w:r>
    </w:p>
    <w:p w14:paraId="19AEE504" w14:textId="77777777" w:rsidR="0011040C" w:rsidRDefault="0011040C" w:rsidP="0028228A">
      <w:pPr>
        <w:pStyle w:val="ListParagraph"/>
        <w:numPr>
          <w:ilvl w:val="0"/>
          <w:numId w:val="1"/>
        </w:numPr>
        <w:jc w:val="both"/>
      </w:pPr>
      <w:r>
        <w:t xml:space="preserve">Copy of </w:t>
      </w:r>
      <w:r w:rsidR="0050349D">
        <w:t xml:space="preserve">FPL </w:t>
      </w:r>
      <w:r>
        <w:t xml:space="preserve">utility bill </w:t>
      </w:r>
      <w:r w:rsidR="00927588">
        <w:t>or other utility bill</w:t>
      </w:r>
      <w:r>
        <w:t xml:space="preserve"> for the past </w:t>
      </w:r>
      <w:r w:rsidR="00D77C46">
        <w:t>six</w:t>
      </w:r>
      <w:r w:rsidR="00846535">
        <w:t xml:space="preserve"> (</w:t>
      </w:r>
      <w:r w:rsidR="00D77C46">
        <w:t>6</w:t>
      </w:r>
      <w:r w:rsidR="00846535">
        <w:t xml:space="preserve">) </w:t>
      </w:r>
      <w:proofErr w:type="gramStart"/>
      <w:r>
        <w:t>months</w:t>
      </w:r>
      <w:proofErr w:type="gramEnd"/>
    </w:p>
    <w:p w14:paraId="659477DC" w14:textId="77777777" w:rsidR="0011040C" w:rsidRDefault="0011040C" w:rsidP="0050349D">
      <w:pPr>
        <w:pStyle w:val="ListParagraph"/>
        <w:numPr>
          <w:ilvl w:val="0"/>
          <w:numId w:val="1"/>
        </w:numPr>
        <w:jc w:val="both"/>
      </w:pPr>
      <w:r>
        <w:t xml:space="preserve">Copy of prior two </w:t>
      </w:r>
      <w:proofErr w:type="gramStart"/>
      <w:r>
        <w:t>years’</w:t>
      </w:r>
      <w:proofErr w:type="gramEnd"/>
      <w:r>
        <w:t xml:space="preserve"> </w:t>
      </w:r>
      <w:r w:rsidR="00297ADF">
        <w:t xml:space="preserve">signed </w:t>
      </w:r>
      <w:r>
        <w:t>Federal Income Tax Returns</w:t>
      </w:r>
      <w:r w:rsidR="0050349D">
        <w:t xml:space="preserve"> </w:t>
      </w:r>
      <w:r w:rsidR="0050349D" w:rsidRPr="0050349D">
        <w:t>for all prospective homeowner(s)</w:t>
      </w:r>
    </w:p>
    <w:p w14:paraId="0BC7269D" w14:textId="77777777" w:rsidR="00297ADF" w:rsidRDefault="00297ADF" w:rsidP="002966C3">
      <w:pPr>
        <w:pStyle w:val="ListParagraph"/>
        <w:numPr>
          <w:ilvl w:val="0"/>
          <w:numId w:val="1"/>
        </w:numPr>
        <w:jc w:val="both"/>
      </w:pPr>
      <w:r>
        <w:t xml:space="preserve">Copy of most current </w:t>
      </w:r>
      <w:r w:rsidR="008D0843">
        <w:t>six (6</w:t>
      </w:r>
      <w:r w:rsidR="00846535">
        <w:t>)</w:t>
      </w:r>
      <w:r>
        <w:t xml:space="preserve"> </w:t>
      </w:r>
      <w:proofErr w:type="gramStart"/>
      <w:r>
        <w:t>months’</w:t>
      </w:r>
      <w:proofErr w:type="gramEnd"/>
      <w:r>
        <w:t xml:space="preserve"> of bank statement for all </w:t>
      </w:r>
      <w:r w:rsidR="00D11106">
        <w:t xml:space="preserve">prospective </w:t>
      </w:r>
      <w:r>
        <w:t>homeowner(s) accounts</w:t>
      </w:r>
    </w:p>
    <w:p w14:paraId="722119E4" w14:textId="05CAF8ED" w:rsidR="00E454D4" w:rsidRDefault="00E454D4" w:rsidP="002966C3">
      <w:pPr>
        <w:pStyle w:val="ListParagraph"/>
        <w:numPr>
          <w:ilvl w:val="0"/>
          <w:numId w:val="1"/>
        </w:numPr>
        <w:jc w:val="both"/>
      </w:pPr>
      <w:r>
        <w:t>Certificate of completion for First-Time Homebuyers Training</w:t>
      </w:r>
      <w:r w:rsidR="00F6273E">
        <w:t xml:space="preserve"> from a H</w:t>
      </w:r>
      <w:r w:rsidR="00DD506F">
        <w:t>U</w:t>
      </w:r>
      <w:r w:rsidR="00F6273E">
        <w:t>D-certified counselor</w:t>
      </w:r>
      <w:r w:rsidR="0050349D">
        <w:t xml:space="preserve"> obtained within six (6) months of </w:t>
      </w:r>
      <w:proofErr w:type="gramStart"/>
      <w:r w:rsidR="0050349D">
        <w:t>application</w:t>
      </w:r>
      <w:proofErr w:type="gramEnd"/>
      <w:r w:rsidR="00D34FBB">
        <w:t xml:space="preserve"> </w:t>
      </w:r>
    </w:p>
    <w:p w14:paraId="7AEB3D41" w14:textId="7D50AB41" w:rsidR="00E454D4" w:rsidRDefault="00D11106" w:rsidP="002966C3">
      <w:pPr>
        <w:pStyle w:val="ListParagraph"/>
        <w:numPr>
          <w:ilvl w:val="0"/>
          <w:numId w:val="1"/>
        </w:numPr>
        <w:jc w:val="both"/>
      </w:pPr>
      <w:r>
        <w:t>Letter of mortgage approval from FDIC-insured bank or mortgage lender</w:t>
      </w:r>
      <w:r w:rsidR="0050349D">
        <w:t xml:space="preserve"> for the value of the property minus homeowner down payment and City assistance </w:t>
      </w:r>
      <w:r w:rsidR="00DD506F">
        <w:t>or have</w:t>
      </w:r>
      <w:r w:rsidR="00D34FBB">
        <w:t xml:space="preserve"> a qualifying FICO Score</w:t>
      </w:r>
      <w:r w:rsidR="00DD506F">
        <w:t xml:space="preserve"> defined as 650.</w:t>
      </w:r>
    </w:p>
    <w:p w14:paraId="60111CAE" w14:textId="1AC6D361" w:rsidR="0007244A" w:rsidRDefault="00826D46" w:rsidP="0007244A">
      <w:pPr>
        <w:jc w:val="both"/>
      </w:pPr>
      <w:r>
        <w:t xml:space="preserve">The City will review the application and </w:t>
      </w:r>
      <w:r w:rsidR="0007244A">
        <w:t xml:space="preserve">initiate the underwriting process, including </w:t>
      </w:r>
      <w:r>
        <w:t>an income certification</w:t>
      </w:r>
      <w:r w:rsidR="0007244A">
        <w:t xml:space="preserve"> as prescribed by 24 CFR 5.609.</w:t>
      </w:r>
      <w:r w:rsidR="0007244A" w:rsidRPr="0007244A">
        <w:t xml:space="preserve"> </w:t>
      </w:r>
      <w:r w:rsidR="0007244A">
        <w:t xml:space="preserve">The City reserves the right to verify all information provided and request a confidential credit report to determine program eligibility. The submission of false or inaccurate information may result in program disqualification. </w:t>
      </w:r>
      <w:r w:rsidR="0007244A" w:rsidRPr="00D11106">
        <w:t>Program funds are contingent upon availability and will be released in accordance with the income eligibility distributions required for each funding source.</w:t>
      </w:r>
    </w:p>
    <w:p w14:paraId="41692CB5" w14:textId="53D404F3" w:rsidR="008B002E" w:rsidRPr="00DD506F" w:rsidRDefault="0007244A" w:rsidP="00DD506F">
      <w:pPr>
        <w:widowControl w:val="0"/>
        <w:jc w:val="both"/>
        <w:rPr>
          <w:b/>
          <w:bCs/>
          <w:sz w:val="24"/>
          <w:szCs w:val="24"/>
        </w:rPr>
      </w:pPr>
      <w:r w:rsidRPr="00DD506F">
        <w:rPr>
          <w:b/>
          <w:bCs/>
          <w:sz w:val="24"/>
          <w:szCs w:val="24"/>
        </w:rPr>
        <w:t xml:space="preserve">Once the underwriting and income certification are complete, the household will receive an award letter with the encumbered amount for the project. </w:t>
      </w:r>
      <w:r w:rsidR="00F6273E" w:rsidRPr="00DD506F">
        <w:rPr>
          <w:b/>
          <w:bCs/>
          <w:sz w:val="24"/>
          <w:szCs w:val="24"/>
        </w:rPr>
        <w:t xml:space="preserve">Please note that Florida Statute 817 provides that willful false statements or misrepresentation concerning income, asset or liability information relating to financial condition is a misdemeanor of the first degree. </w:t>
      </w:r>
    </w:p>
    <w:p w14:paraId="018142E1" w14:textId="7EC3FD8D" w:rsidR="00A946B9" w:rsidRPr="00E90F76" w:rsidRDefault="00A946B9" w:rsidP="00A946B9">
      <w:pPr>
        <w:widowControl w:val="0"/>
        <w:rPr>
          <w:b/>
          <w:bCs/>
          <w:sz w:val="28"/>
          <w:szCs w:val="28"/>
        </w:rPr>
      </w:pPr>
      <w:r w:rsidRPr="00E90F76">
        <w:rPr>
          <w:b/>
          <w:bCs/>
          <w:sz w:val="28"/>
          <w:szCs w:val="28"/>
        </w:rPr>
        <w:t>Step 2: Home Selection</w:t>
      </w:r>
    </w:p>
    <w:p w14:paraId="38C00404" w14:textId="092A8E8A" w:rsidR="00A946B9" w:rsidRPr="00A946B9" w:rsidRDefault="00E90F76" w:rsidP="00A946B9">
      <w:pPr>
        <w:widowControl w:val="0"/>
      </w:pPr>
      <w:r>
        <w:t>After</w:t>
      </w:r>
      <w:r w:rsidR="00A946B9" w:rsidRPr="00A946B9">
        <w:t xml:space="preserve"> the City’s award letter</w:t>
      </w:r>
      <w:r>
        <w:t xml:space="preserve"> is provided, the prospective homeowner must</w:t>
      </w:r>
      <w:r w:rsidR="0000107F">
        <w:t xml:space="preserve"> collaborate with the lender, title company and all other parties to submit documents required for the </w:t>
      </w:r>
      <w:r w:rsidR="00DD506F">
        <w:t xml:space="preserve">property </w:t>
      </w:r>
      <w:r w:rsidR="0000107F">
        <w:t xml:space="preserve">closing within </w:t>
      </w:r>
      <w:r w:rsidR="0000107F" w:rsidRPr="00A946B9">
        <w:t xml:space="preserve">45 days </w:t>
      </w:r>
      <w:r w:rsidR="0000107F">
        <w:t>of the award letter issuance.</w:t>
      </w:r>
    </w:p>
    <w:p w14:paraId="4E1435E1" w14:textId="6EB9D001" w:rsidR="005A5F20" w:rsidRPr="005A5F20" w:rsidRDefault="005A5F20" w:rsidP="0000107F">
      <w:pPr>
        <w:pStyle w:val="ListParagraph"/>
        <w:widowControl w:val="0"/>
      </w:pPr>
    </w:p>
    <w:p w14:paraId="55B965C4" w14:textId="63D3C407" w:rsidR="00A946B9" w:rsidRPr="00E90F76" w:rsidRDefault="00A946B9" w:rsidP="00A946B9">
      <w:pPr>
        <w:widowControl w:val="0"/>
        <w:rPr>
          <w:b/>
          <w:bCs/>
          <w:sz w:val="28"/>
          <w:szCs w:val="28"/>
        </w:rPr>
      </w:pPr>
      <w:r w:rsidRPr="00E90F76">
        <w:rPr>
          <w:b/>
          <w:bCs/>
          <w:sz w:val="28"/>
          <w:szCs w:val="28"/>
        </w:rPr>
        <w:t>Step 3: Closing</w:t>
      </w:r>
    </w:p>
    <w:p w14:paraId="570B6C90" w14:textId="77777777" w:rsidR="00A946B9" w:rsidRPr="00A946B9" w:rsidRDefault="00A946B9" w:rsidP="00A946B9">
      <w:pPr>
        <w:widowControl w:val="0"/>
      </w:pPr>
      <w:r w:rsidRPr="00A946B9">
        <w:t>The following documents are needed:</w:t>
      </w:r>
    </w:p>
    <w:p w14:paraId="6C50C652" w14:textId="753A670D" w:rsidR="00A946B9" w:rsidRPr="00A946B9" w:rsidRDefault="00DD506F" w:rsidP="00A946B9">
      <w:pPr>
        <w:widowControl w:val="0"/>
      </w:pPr>
      <w:r w:rsidRPr="00A946B9">
        <w:t>□</w:t>
      </w:r>
      <w:r>
        <w:t xml:space="preserve"> </w:t>
      </w:r>
      <w:r w:rsidR="00A946B9" w:rsidRPr="00A946B9">
        <w:t>Executed Sales Contract with Addendum and Closing Date</w:t>
      </w:r>
    </w:p>
    <w:p w14:paraId="71D53B36" w14:textId="33BC789F" w:rsidR="00A946B9" w:rsidRPr="00A946B9" w:rsidRDefault="00A946B9" w:rsidP="00A946B9">
      <w:pPr>
        <w:widowControl w:val="0"/>
      </w:pPr>
      <w:r w:rsidRPr="00A946B9">
        <w:t xml:space="preserve">□ Cancelled check </w:t>
      </w:r>
      <w:r w:rsidR="00DD506F">
        <w:t>of</w:t>
      </w:r>
      <w:r w:rsidRPr="00A946B9">
        <w:t xml:space="preserve"> good-faith deposit</w:t>
      </w:r>
      <w:r w:rsidR="00DD506F">
        <w:t xml:space="preserve"> for targeted property</w:t>
      </w:r>
    </w:p>
    <w:p w14:paraId="1C4D7789" w14:textId="77777777" w:rsidR="00A946B9" w:rsidRPr="00A946B9" w:rsidRDefault="00A946B9" w:rsidP="00A946B9">
      <w:pPr>
        <w:widowControl w:val="0"/>
      </w:pPr>
      <w:r w:rsidRPr="00A946B9">
        <w:t>□ Approval from First Mortgage Lender</w:t>
      </w:r>
    </w:p>
    <w:p w14:paraId="62EF926B" w14:textId="77777777" w:rsidR="00A946B9" w:rsidRPr="00A946B9" w:rsidRDefault="00A946B9" w:rsidP="00A946B9">
      <w:pPr>
        <w:widowControl w:val="0"/>
      </w:pPr>
      <w:r w:rsidRPr="00A946B9">
        <w:t>□ Preliminary Closing Statements</w:t>
      </w:r>
    </w:p>
    <w:p w14:paraId="1BD0EFEF" w14:textId="7A4FEE27" w:rsidR="00A946B9" w:rsidRPr="00A946B9" w:rsidRDefault="00A946B9" w:rsidP="00A946B9">
      <w:pPr>
        <w:widowControl w:val="0"/>
      </w:pPr>
      <w:r w:rsidRPr="00A946B9">
        <w:t>□ Title Commitment (HUD 1)</w:t>
      </w:r>
    </w:p>
    <w:p w14:paraId="39916E3B" w14:textId="321C149F" w:rsidR="00A946B9" w:rsidRPr="00A946B9" w:rsidRDefault="00DD506F" w:rsidP="00A946B9">
      <w:pPr>
        <w:widowControl w:val="0"/>
      </w:pPr>
      <w:r w:rsidRPr="00A946B9">
        <w:t>□</w:t>
      </w:r>
      <w:r>
        <w:t xml:space="preserve"> </w:t>
      </w:r>
      <w:r w:rsidR="00A946B9" w:rsidRPr="00A946B9">
        <w:t>Lien Search (from Title Company)</w:t>
      </w:r>
    </w:p>
    <w:p w14:paraId="1B3E8F13" w14:textId="77777777" w:rsidR="00A946B9" w:rsidRPr="00A946B9" w:rsidRDefault="00A946B9" w:rsidP="00A946B9">
      <w:pPr>
        <w:widowControl w:val="0"/>
      </w:pPr>
      <w:r w:rsidRPr="00A946B9">
        <w:t>□ Property Appraiser’s Information</w:t>
      </w:r>
    </w:p>
    <w:p w14:paraId="4A0383E0" w14:textId="77777777" w:rsidR="00A946B9" w:rsidRPr="00A946B9" w:rsidRDefault="00A946B9" w:rsidP="00A946B9">
      <w:pPr>
        <w:widowControl w:val="0"/>
      </w:pPr>
      <w:r w:rsidRPr="00A946B9">
        <w:t>□ H06 Insurance Certificate</w:t>
      </w:r>
    </w:p>
    <w:p w14:paraId="03E6F628" w14:textId="77777777" w:rsidR="00A946B9" w:rsidRPr="00A946B9" w:rsidRDefault="00A946B9" w:rsidP="00A946B9">
      <w:pPr>
        <w:widowControl w:val="0"/>
      </w:pPr>
      <w:r w:rsidRPr="00A946B9">
        <w:t>□ HOA/Condo Questionnaire</w:t>
      </w:r>
    </w:p>
    <w:p w14:paraId="4E7DFE79" w14:textId="77777777" w:rsidR="00A946B9" w:rsidRPr="00A946B9" w:rsidRDefault="00A946B9" w:rsidP="00A946B9">
      <w:pPr>
        <w:widowControl w:val="0"/>
      </w:pPr>
      <w:r w:rsidRPr="00A946B9">
        <w:t>□ Buyer’s Affidavit</w:t>
      </w:r>
    </w:p>
    <w:p w14:paraId="52984CA9" w14:textId="77777777" w:rsidR="00A946B9" w:rsidRPr="00A946B9" w:rsidRDefault="00A946B9" w:rsidP="00A946B9">
      <w:pPr>
        <w:widowControl w:val="0"/>
      </w:pPr>
      <w:r w:rsidRPr="00A946B9">
        <w:t>□ Appraisal</w:t>
      </w:r>
    </w:p>
    <w:p w14:paraId="37C1CE08" w14:textId="77777777" w:rsidR="00A946B9" w:rsidRPr="00A946B9" w:rsidRDefault="00A946B9" w:rsidP="00A946B9">
      <w:pPr>
        <w:widowControl w:val="0"/>
      </w:pPr>
      <w:r w:rsidRPr="00A946B9">
        <w:t>□ Inspection Report</w:t>
      </w:r>
    </w:p>
    <w:p w14:paraId="2109CC32" w14:textId="77777777" w:rsidR="00A946B9" w:rsidRPr="00A946B9" w:rsidRDefault="00A946B9" w:rsidP="00A946B9">
      <w:pPr>
        <w:widowControl w:val="0"/>
      </w:pPr>
      <w:r w:rsidRPr="00A946B9">
        <w:t>□ Insurance Certificates for Property &amp; Condo Association</w:t>
      </w:r>
    </w:p>
    <w:p w14:paraId="0FEB51FD" w14:textId="77777777" w:rsidR="00A946B9" w:rsidRPr="00A946B9" w:rsidRDefault="00A946B9" w:rsidP="00A946B9">
      <w:pPr>
        <w:widowControl w:val="0"/>
      </w:pPr>
      <w:r w:rsidRPr="00A946B9">
        <w:t>□ Closing Disclosure</w:t>
      </w:r>
    </w:p>
    <w:p w14:paraId="51B516C0" w14:textId="77777777" w:rsidR="00A946B9" w:rsidRPr="00A946B9" w:rsidRDefault="00A946B9" w:rsidP="00A946B9">
      <w:pPr>
        <w:widowControl w:val="0"/>
      </w:pPr>
      <w:r w:rsidRPr="00A946B9">
        <w:t>□ Condo Approval from Board President</w:t>
      </w:r>
    </w:p>
    <w:p w14:paraId="2B36944D" w14:textId="77777777" w:rsidR="00A946B9" w:rsidRPr="00A946B9" w:rsidRDefault="00A946B9" w:rsidP="00A946B9">
      <w:pPr>
        <w:widowControl w:val="0"/>
      </w:pPr>
      <w:r w:rsidRPr="00A946B9">
        <w:t xml:space="preserve">□ Title Company Approval including </w:t>
      </w:r>
    </w:p>
    <w:p w14:paraId="67E40B90" w14:textId="5736E9D1" w:rsidR="00A946B9" w:rsidRPr="00A946B9" w:rsidRDefault="00DD506F" w:rsidP="00A946B9">
      <w:pPr>
        <w:widowControl w:val="0"/>
      </w:pPr>
      <w:r w:rsidRPr="00A946B9">
        <w:t>□</w:t>
      </w:r>
      <w:r>
        <w:t xml:space="preserve"> </w:t>
      </w:r>
      <w:r w:rsidR="00A946B9" w:rsidRPr="00A946B9">
        <w:t>Omissions Insurance Policy and Closing Protection Letter</w:t>
      </w:r>
    </w:p>
    <w:p w14:paraId="21C1EC0E" w14:textId="09B479E7" w:rsidR="00A946B9" w:rsidRDefault="0000107F" w:rsidP="00DD506F">
      <w:pPr>
        <w:widowControl w:val="0"/>
        <w:jc w:val="both"/>
      </w:pPr>
      <w:r>
        <w:t xml:space="preserve">Once documents are received, the lender and the City will complete the underwriting and review process and approve loan documents. The City Attorney will then form approve the City’s loan documents and the closing statement. The loan commitment letter will be signed by the City Manager and sent to the lender and Closing Agent for review. No funds will be disbursed until </w:t>
      </w:r>
      <w:r w:rsidR="00FA1E34">
        <w:t>all parties have approved the transaction as cleared to close.</w:t>
      </w:r>
    </w:p>
    <w:p w14:paraId="6BB5486A" w14:textId="24A7FEE0" w:rsidR="00FA1E34" w:rsidRDefault="00FA1E34" w:rsidP="00A946B9">
      <w:pPr>
        <w:widowControl w:val="0"/>
      </w:pPr>
    </w:p>
    <w:p w14:paraId="5BE98E4C" w14:textId="77777777" w:rsidR="00FA1E34" w:rsidRPr="00A946B9" w:rsidRDefault="00FA1E34" w:rsidP="00A946B9">
      <w:pPr>
        <w:widowControl w:val="0"/>
      </w:pPr>
    </w:p>
    <w:p w14:paraId="5FD33732" w14:textId="77777777" w:rsidR="00E53C29" w:rsidRPr="00A075CA" w:rsidRDefault="00A075CA">
      <w:pPr>
        <w:rPr>
          <w:b/>
          <w:sz w:val="28"/>
          <w:szCs w:val="28"/>
        </w:rPr>
      </w:pPr>
      <w:r w:rsidRPr="00A075CA">
        <w:rPr>
          <w:b/>
          <w:sz w:val="28"/>
          <w:szCs w:val="28"/>
        </w:rPr>
        <w:lastRenderedPageBreak/>
        <w:t>What if I have more questions not answered here?</w:t>
      </w:r>
    </w:p>
    <w:p w14:paraId="44F973D2" w14:textId="77777777" w:rsidR="00A075CA" w:rsidRDefault="00A075CA">
      <w:r>
        <w:t xml:space="preserve">If you have any questions, please contact the City’s Office of Community Services at 305-673-7491 or by emailing your question to </w:t>
      </w:r>
      <w:r w:rsidR="00DA513A">
        <w:t>Marcela Rubio,</w:t>
      </w:r>
      <w:r>
        <w:t xml:space="preserve"> </w:t>
      </w:r>
      <w:r w:rsidR="001F68FB">
        <w:t>HOME/SHIP Program Coordinator</w:t>
      </w:r>
      <w:r>
        <w:t xml:space="preserve"> at </w:t>
      </w:r>
      <w:r w:rsidR="001F68FB" w:rsidRPr="001F68FB">
        <w:t>m</w:t>
      </w:r>
      <w:r w:rsidR="001F68FB">
        <w:t>arcelarubio@miamibeachfl.gov.</w:t>
      </w:r>
      <w:r>
        <w:t xml:space="preserve"> </w:t>
      </w:r>
    </w:p>
    <w:p w14:paraId="30DD2664" w14:textId="77777777" w:rsidR="00A075CA" w:rsidRPr="001B514E" w:rsidRDefault="00A075CA">
      <w:pPr>
        <w:rPr>
          <w:b/>
          <w:sz w:val="28"/>
          <w:szCs w:val="28"/>
        </w:rPr>
      </w:pPr>
      <w:r w:rsidRPr="001B514E">
        <w:rPr>
          <w:b/>
          <w:sz w:val="28"/>
          <w:szCs w:val="28"/>
        </w:rPr>
        <w:t>Where do I submit completed applications?</w:t>
      </w:r>
    </w:p>
    <w:p w14:paraId="2F16A1C5" w14:textId="6526D073" w:rsidR="00A075CA" w:rsidRDefault="00A075CA" w:rsidP="00D34FBB">
      <w:pPr>
        <w:jc w:val="both"/>
      </w:pPr>
      <w:r>
        <w:t xml:space="preserve">Completed applications must be submitted in person to the Office of </w:t>
      </w:r>
      <w:r w:rsidR="0050349D">
        <w:t xml:space="preserve">Housing and </w:t>
      </w:r>
      <w:r>
        <w:t>Commun</w:t>
      </w:r>
      <w:r w:rsidR="001B514E">
        <w:t>i</w:t>
      </w:r>
      <w:r w:rsidR="0050349D">
        <w:t xml:space="preserve">ty Services located at </w:t>
      </w:r>
      <w:r w:rsidR="00A81733">
        <w:t>555 17</w:t>
      </w:r>
      <w:r w:rsidR="00A81733" w:rsidRPr="00A81733">
        <w:rPr>
          <w:vertAlign w:val="superscript"/>
        </w:rPr>
        <w:t>th</w:t>
      </w:r>
      <w:r w:rsidR="00A81733">
        <w:t xml:space="preserve"> </w:t>
      </w:r>
      <w:r w:rsidR="00DD506F">
        <w:t>S</w:t>
      </w:r>
      <w:r w:rsidR="00A81733">
        <w:t>treet</w:t>
      </w:r>
      <w:r w:rsidR="0050349D">
        <w:t>, Miami Beach, Florida 33139</w:t>
      </w:r>
      <w:r w:rsidR="001B514E">
        <w:t xml:space="preserve">. The Office is open Monday through Friday </w:t>
      </w:r>
      <w:r w:rsidR="0050349D">
        <w:t>(</w:t>
      </w:r>
      <w:r w:rsidR="001B514E">
        <w:t>excluding legal holidays), 8:30am to 5pm</w:t>
      </w:r>
      <w:r w:rsidR="001B4648">
        <w:t>, by appointment only</w:t>
      </w:r>
      <w:r w:rsidR="001B514E">
        <w:t>.</w:t>
      </w:r>
      <w:r w:rsidR="005B1FA6">
        <w:t xml:space="preserve"> </w:t>
      </w:r>
    </w:p>
    <w:p w14:paraId="1248DB6F" w14:textId="28027E6B" w:rsidR="00987E8D" w:rsidRPr="00987E8D" w:rsidRDefault="00987E8D">
      <w:pPr>
        <w:rPr>
          <w:b/>
          <w:sz w:val="28"/>
          <w:szCs w:val="28"/>
        </w:rPr>
      </w:pPr>
      <w:r w:rsidRPr="00987E8D">
        <w:rPr>
          <w:b/>
          <w:sz w:val="28"/>
          <w:szCs w:val="28"/>
        </w:rPr>
        <w:t>Key SHIP</w:t>
      </w:r>
      <w:r w:rsidR="00826D46">
        <w:rPr>
          <w:b/>
          <w:sz w:val="28"/>
          <w:szCs w:val="28"/>
        </w:rPr>
        <w:t>/HOME</w:t>
      </w:r>
      <w:r w:rsidRPr="00987E8D">
        <w:rPr>
          <w:b/>
          <w:sz w:val="28"/>
          <w:szCs w:val="28"/>
        </w:rPr>
        <w:t xml:space="preserve"> Terms and Regulatory References</w:t>
      </w:r>
    </w:p>
    <w:p w14:paraId="1016F523" w14:textId="77777777" w:rsidR="00987E8D" w:rsidRDefault="00987E8D" w:rsidP="00E80416">
      <w:pPr>
        <w:spacing w:after="0" w:line="240" w:lineRule="auto"/>
        <w:jc w:val="both"/>
      </w:pPr>
      <w:r>
        <w:t>“</w:t>
      </w:r>
      <w:r w:rsidRPr="00E80416">
        <w:rPr>
          <w:b/>
        </w:rPr>
        <w:t>Affordable”</w:t>
      </w:r>
      <w:r>
        <w:t xml:space="preserve"> means that monthly rents or monthly mortgage payments including taxes and insurance do not exceed 30 percent of that amount which represents the percentage of the median annual gross </w:t>
      </w:r>
      <w:r w:rsidR="00E80416">
        <w:t>i</w:t>
      </w:r>
      <w:r>
        <w:t xml:space="preserve">ncome for the households as indicated in subsection (19), subsection (20), or subsection (28). However, it is not the intent to limit an individual household’s ability to devote more than 30 percent of its income for housing, and housing for which a household devotes more than 30 percent of its income shall be deemed affordable if the first institutional mortgage lender is satisfied that the household can afford mortgage payments </w:t>
      </w:r>
      <w:proofErr w:type="gramStart"/>
      <w:r>
        <w:t>in excess of</w:t>
      </w:r>
      <w:proofErr w:type="gramEnd"/>
      <w:r>
        <w:t xml:space="preserve"> the 30 percent benchmark.</w:t>
      </w:r>
    </w:p>
    <w:p w14:paraId="5BC701F3" w14:textId="77777777" w:rsidR="00E80416" w:rsidRDefault="00E80416" w:rsidP="00E80416">
      <w:pPr>
        <w:spacing w:after="0" w:line="240" w:lineRule="auto"/>
        <w:jc w:val="both"/>
      </w:pPr>
    </w:p>
    <w:p w14:paraId="7CA2B6FE" w14:textId="77777777" w:rsidR="00987E8D" w:rsidRDefault="00E80416" w:rsidP="00E80416">
      <w:pPr>
        <w:spacing w:after="0" w:line="240" w:lineRule="auto"/>
        <w:jc w:val="both"/>
      </w:pPr>
      <w:r w:rsidRPr="00E80416">
        <w:rPr>
          <w:b/>
        </w:rPr>
        <w:t>“Eligible housing”</w:t>
      </w:r>
      <w:r>
        <w:t xml:space="preserve"> means any real and personal property located within the county or the eligible municipality which is designed and intended for the primary purpose of providing decent, safe, and sanitary residential units that are designed to meet the standards of the Florida Building Code or previous building codes adopted under chapter 553, or manufactured housing constructed after June 1994 and installed in accordance with the installation standards for mobile or manufactured homes contained in rules of the Department of Highway Safety and Motor Vehicles, for home ownership or rental for eligible persons as designated by each county or eligible municipality participating in the State Housing Initiatives Partnership Program.</w:t>
      </w:r>
    </w:p>
    <w:p w14:paraId="095327D0" w14:textId="77777777" w:rsidR="00E80416" w:rsidRDefault="00E80416" w:rsidP="00E80416">
      <w:pPr>
        <w:spacing w:after="0" w:line="240" w:lineRule="auto"/>
        <w:jc w:val="both"/>
      </w:pPr>
    </w:p>
    <w:p w14:paraId="562AFBA7" w14:textId="1DC303F4" w:rsidR="00E80416" w:rsidRDefault="00E80416" w:rsidP="00E80416">
      <w:pPr>
        <w:spacing w:after="0" w:line="240" w:lineRule="auto"/>
        <w:jc w:val="both"/>
      </w:pPr>
      <w:r w:rsidRPr="00E80416">
        <w:rPr>
          <w:b/>
        </w:rPr>
        <w:t>“Eligible person”</w:t>
      </w:r>
      <w:r>
        <w:t xml:space="preserve"> or </w:t>
      </w:r>
      <w:r w:rsidRPr="00E80416">
        <w:rPr>
          <w:b/>
        </w:rPr>
        <w:t>“eligible household”</w:t>
      </w:r>
      <w:r>
        <w:t xml:space="preserve"> means one or more natural </w:t>
      </w:r>
      <w:proofErr w:type="gramStart"/>
      <w:r>
        <w:t>persons</w:t>
      </w:r>
      <w:proofErr w:type="gramEnd"/>
      <w:r>
        <w:t xml:space="preserve"> or a family determined by the county or eligible municipality to be of very</w:t>
      </w:r>
      <w:r w:rsidR="00DD506F">
        <w:t>-</w:t>
      </w:r>
      <w:r>
        <w:t>low</w:t>
      </w:r>
      <w:r w:rsidR="00DD506F">
        <w:t>-</w:t>
      </w:r>
      <w:r>
        <w:t xml:space="preserve"> income, low</w:t>
      </w:r>
      <w:r w:rsidR="00DD506F">
        <w:t>-</w:t>
      </w:r>
      <w:r>
        <w:t>income, or moderate</w:t>
      </w:r>
      <w:r w:rsidR="00DD506F">
        <w:t>-</w:t>
      </w:r>
      <w:r>
        <w:t>income according to the income limits adjusted to family size published annually by the United States Department of Housing and Urban Development based upon the annual gross income of the household.</w:t>
      </w:r>
    </w:p>
    <w:p w14:paraId="0D14070D" w14:textId="545F4833" w:rsidR="0007244A" w:rsidRDefault="0007244A" w:rsidP="00E80416">
      <w:pPr>
        <w:spacing w:after="0" w:line="240" w:lineRule="auto"/>
        <w:jc w:val="both"/>
      </w:pPr>
    </w:p>
    <w:p w14:paraId="4DFD1C14" w14:textId="211E5C5B" w:rsidR="0007244A" w:rsidRPr="00F6273E" w:rsidRDefault="0007244A" w:rsidP="00E80416">
      <w:pPr>
        <w:spacing w:after="0" w:line="240" w:lineRule="auto"/>
        <w:jc w:val="both"/>
      </w:pPr>
      <w:r w:rsidRPr="006C6896">
        <w:rPr>
          <w:b/>
          <w:bCs/>
        </w:rPr>
        <w:t>“Encumbered”</w:t>
      </w:r>
      <w:r w:rsidR="00F6273E">
        <w:rPr>
          <w:b/>
          <w:bCs/>
        </w:rPr>
        <w:t xml:space="preserve"> </w:t>
      </w:r>
      <w:r w:rsidR="00F6273E">
        <w:t xml:space="preserve">means funds are allocated to a household after receiving an award letter. Funds will be dispersed upon approval after closing documents </w:t>
      </w:r>
      <w:r w:rsidR="008B002E">
        <w:t xml:space="preserve">are provided by certified lender and approved title company. The City will review documents and provide </w:t>
      </w:r>
      <w:r w:rsidR="00A946B9">
        <w:t xml:space="preserve">a loan commitment letter once lender has provided clear to close. Funds will only </w:t>
      </w:r>
      <w:r w:rsidR="00DD506F">
        <w:t>be dispersed</w:t>
      </w:r>
      <w:r w:rsidR="00A946B9">
        <w:t xml:space="preserve"> once all loan documents are signed by all parties.</w:t>
      </w:r>
    </w:p>
    <w:p w14:paraId="4A050C23" w14:textId="5D7B6215" w:rsidR="00E80416" w:rsidRDefault="00E80416" w:rsidP="00E80416">
      <w:pPr>
        <w:spacing w:after="0" w:line="240" w:lineRule="auto"/>
        <w:jc w:val="both"/>
      </w:pPr>
    </w:p>
    <w:p w14:paraId="616EB38B" w14:textId="1AD1554C" w:rsidR="00DD506F" w:rsidRDefault="00DD506F" w:rsidP="00E80416">
      <w:pPr>
        <w:spacing w:after="0" w:line="240" w:lineRule="auto"/>
        <w:jc w:val="both"/>
        <w:rPr>
          <w:rFonts w:ascii="Calibri" w:eastAsia="Arial" w:hAnsi="Calibri" w:cs="Calibri"/>
          <w:lang w:eastAsia="en-US" w:bidi="ar-SA"/>
        </w:rPr>
      </w:pPr>
      <w:r w:rsidRPr="00DD506F">
        <w:rPr>
          <w:b/>
          <w:bCs/>
        </w:rPr>
        <w:t>“Extremely-Low-Income Person or Extremely Low-Income Household”</w:t>
      </w:r>
      <w:r>
        <w:rPr>
          <w:b/>
          <w:bCs/>
        </w:rPr>
        <w:t xml:space="preserve"> </w:t>
      </w:r>
      <w:r>
        <w:t xml:space="preserve">means </w:t>
      </w:r>
      <w:r w:rsidR="00314AEA">
        <w:t xml:space="preserve">that the applicant/household annual income does not exceed 30% of the Income and Rent Limits for the applicable year. </w:t>
      </w:r>
      <w:r w:rsidR="00314AEA" w:rsidRPr="00841543">
        <w:rPr>
          <w:rFonts w:ascii="Calibri" w:eastAsia="Arial" w:hAnsi="Calibri" w:cs="Calibri"/>
          <w:lang w:val="en-US" w:eastAsia="en-US" w:bidi="ar-SA"/>
        </w:rPr>
        <w:t xml:space="preserve">The Income and Rent Limits used in the SHIP Program are updated annually by the Department of Housing and Urban Development and posted at </w:t>
      </w:r>
      <w:hyperlink r:id="rId10" w:history="1">
        <w:r w:rsidR="00314AEA" w:rsidRPr="00841543">
          <w:rPr>
            <w:rFonts w:ascii="Calibri" w:eastAsia="Arial" w:hAnsi="Calibri" w:cs="Calibri"/>
            <w:color w:val="000000"/>
            <w:u w:val="single" w:color="000000"/>
            <w:lang w:val="en-US" w:eastAsia="en-US" w:bidi="ar-SA"/>
          </w:rPr>
          <w:t>www.floridahousing.org</w:t>
        </w:r>
      </w:hyperlink>
      <w:r w:rsidR="00314AEA" w:rsidRPr="00841543">
        <w:rPr>
          <w:rFonts w:ascii="Calibri" w:eastAsia="Arial" w:hAnsi="Calibri" w:cs="Calibri"/>
          <w:lang w:val="en-US" w:eastAsia="en-US" w:bidi="ar-SA"/>
        </w:rPr>
        <w:t xml:space="preserve">.  </w:t>
      </w:r>
      <w:r w:rsidR="00314AEA">
        <w:rPr>
          <w:rFonts w:ascii="Calibri" w:eastAsia="Arial" w:hAnsi="Calibri" w:cs="Calibri"/>
          <w:lang w:eastAsia="en-US" w:bidi="ar-SA"/>
        </w:rPr>
        <w:t xml:space="preserve">The Income Limits used in the HOME Program are updated annually on </w:t>
      </w:r>
      <w:hyperlink r:id="rId11" w:history="1">
        <w:r w:rsidR="00314AEA" w:rsidRPr="006B4D3D">
          <w:rPr>
            <w:rStyle w:val="Hyperlink"/>
            <w:rFonts w:ascii="Calibri" w:eastAsia="Arial" w:hAnsi="Calibri" w:cs="Calibri"/>
            <w:lang w:eastAsia="en-US" w:bidi="ar-SA"/>
          </w:rPr>
          <w:t>www.hudexchange.info</w:t>
        </w:r>
      </w:hyperlink>
      <w:r w:rsidR="00314AEA">
        <w:rPr>
          <w:rFonts w:ascii="Calibri" w:eastAsia="Arial" w:hAnsi="Calibri" w:cs="Calibri"/>
          <w:lang w:eastAsia="en-US" w:bidi="ar-SA"/>
        </w:rPr>
        <w:t>.</w:t>
      </w:r>
    </w:p>
    <w:p w14:paraId="133B120C" w14:textId="77777777" w:rsidR="00314AEA" w:rsidRPr="00314AEA" w:rsidRDefault="00314AEA" w:rsidP="00E80416">
      <w:pPr>
        <w:spacing w:after="0" w:line="240" w:lineRule="auto"/>
        <w:jc w:val="both"/>
      </w:pPr>
    </w:p>
    <w:p w14:paraId="41B75422" w14:textId="77777777" w:rsidR="00DD506F" w:rsidRPr="00DD506F" w:rsidRDefault="00DD506F" w:rsidP="00E80416">
      <w:pPr>
        <w:spacing w:after="0" w:line="240" w:lineRule="auto"/>
        <w:jc w:val="both"/>
      </w:pPr>
    </w:p>
    <w:p w14:paraId="3EAF65B8" w14:textId="77777777" w:rsidR="00E80416" w:rsidRDefault="00E80416" w:rsidP="00E80416">
      <w:pPr>
        <w:spacing w:after="0" w:line="240" w:lineRule="auto"/>
        <w:jc w:val="both"/>
      </w:pPr>
      <w:r w:rsidRPr="00E80416">
        <w:rPr>
          <w:b/>
        </w:rPr>
        <w:t>“Loan”</w:t>
      </w:r>
      <w:r>
        <w:t xml:space="preserve"> means an award from the local housing assistance trust fund to an eligible sponsor or eligible person to partially finance the acquisition, construction, or rehabilitation of eligible housing with requirement for repayment or provision for forgiveness of repayment if the condition of the award is maintained.</w:t>
      </w:r>
    </w:p>
    <w:p w14:paraId="69DE16DD" w14:textId="77777777" w:rsidR="00E80416" w:rsidRDefault="00E80416" w:rsidP="00E80416">
      <w:pPr>
        <w:spacing w:after="0" w:line="240" w:lineRule="auto"/>
        <w:jc w:val="both"/>
      </w:pPr>
    </w:p>
    <w:p w14:paraId="08200005" w14:textId="6181C9DF" w:rsidR="00E80416" w:rsidRDefault="00E80416" w:rsidP="00E80416">
      <w:pPr>
        <w:spacing w:after="0" w:line="240" w:lineRule="auto"/>
        <w:jc w:val="both"/>
      </w:pPr>
      <w:r w:rsidRPr="00E80416">
        <w:rPr>
          <w:b/>
        </w:rPr>
        <w:t>“Low-income person”</w:t>
      </w:r>
      <w:r>
        <w:t xml:space="preserve"> or “</w:t>
      </w:r>
      <w:r w:rsidRPr="00E80416">
        <w:rPr>
          <w:b/>
        </w:rPr>
        <w:t>low-income household</w:t>
      </w:r>
      <w:r>
        <w:t xml:space="preserve">” means one or more natural persons or a family that has a total annual gross household income that does not exceed 80 percent of the median annual income adjusted for family size for households within the metropolitan statistical area, the county, or the nonmetropolitan median for the state, whichever amount is greatest. </w:t>
      </w:r>
    </w:p>
    <w:p w14:paraId="4EAD6A3A" w14:textId="77777777" w:rsidR="00E80416" w:rsidRDefault="00E80416" w:rsidP="00E80416">
      <w:pPr>
        <w:spacing w:after="0" w:line="240" w:lineRule="auto"/>
        <w:jc w:val="both"/>
      </w:pPr>
    </w:p>
    <w:p w14:paraId="6DD10590" w14:textId="34879205" w:rsidR="009E12A4" w:rsidRDefault="009E12A4" w:rsidP="009E12A4">
      <w:pPr>
        <w:spacing w:after="0" w:line="240" w:lineRule="auto"/>
        <w:jc w:val="both"/>
        <w:rPr>
          <w:rFonts w:eastAsia="Times New Roman" w:cs="Arial"/>
        </w:rPr>
      </w:pPr>
      <w:r w:rsidRPr="009E12A4">
        <w:rPr>
          <w:rFonts w:eastAsia="Times New Roman" w:cs="Arial"/>
          <w:b/>
        </w:rPr>
        <w:t>“Sales price”</w:t>
      </w:r>
      <w:r w:rsidRPr="009E12A4">
        <w:rPr>
          <w:rFonts w:eastAsia="Times New Roman" w:cs="Arial"/>
        </w:rPr>
        <w:t xml:space="preserve"> or “value” means, in the case of acquisition of an existing or </w:t>
      </w:r>
      <w:proofErr w:type="gramStart"/>
      <w:r w:rsidRPr="009E12A4">
        <w:rPr>
          <w:rFonts w:eastAsia="Times New Roman" w:cs="Arial"/>
        </w:rPr>
        <w:t>newly</w:t>
      </w:r>
      <w:r w:rsidR="00314AEA">
        <w:rPr>
          <w:rFonts w:eastAsia="Times New Roman" w:cs="Arial"/>
        </w:rPr>
        <w:t>-</w:t>
      </w:r>
      <w:r w:rsidRPr="009E12A4">
        <w:rPr>
          <w:rFonts w:eastAsia="Times New Roman" w:cs="Arial"/>
        </w:rPr>
        <w:t>constructed</w:t>
      </w:r>
      <w:proofErr w:type="gramEnd"/>
      <w:r w:rsidRPr="009E12A4">
        <w:rPr>
          <w:rFonts w:eastAsia="Times New Roman" w:cs="Arial"/>
        </w:rPr>
        <w:t xml:space="preserve"> unit, the amount on the executed sales contract. For eligible persons who are building a unit on land that they own, the sales price is determined by an appraisal performed by a state-certified appraiser. The </w:t>
      </w:r>
      <w:r>
        <w:rPr>
          <w:rFonts w:eastAsia="Times New Roman" w:cs="Arial"/>
        </w:rPr>
        <w:t>a</w:t>
      </w:r>
      <w:r w:rsidRPr="009E12A4">
        <w:rPr>
          <w:rFonts w:eastAsia="Times New Roman" w:cs="Arial"/>
        </w:rPr>
        <w:t xml:space="preserve">ppraisal must include the value of the land and the improvements using the </w:t>
      </w:r>
      <w:proofErr w:type="gramStart"/>
      <w:r w:rsidRPr="009E12A4">
        <w:rPr>
          <w:rFonts w:eastAsia="Times New Roman" w:cs="Arial"/>
        </w:rPr>
        <w:t>after</w:t>
      </w:r>
      <w:r>
        <w:rPr>
          <w:rFonts w:eastAsia="Times New Roman" w:cs="Arial"/>
        </w:rPr>
        <w:t xml:space="preserve"> </w:t>
      </w:r>
      <w:r w:rsidRPr="009E12A4">
        <w:rPr>
          <w:rFonts w:eastAsia="Times New Roman" w:cs="Arial"/>
        </w:rPr>
        <w:t>construction</w:t>
      </w:r>
      <w:proofErr w:type="gramEnd"/>
      <w:r w:rsidRPr="009E12A4">
        <w:rPr>
          <w:rFonts w:eastAsia="Times New Roman" w:cs="Arial"/>
        </w:rPr>
        <w:t xml:space="preserve"> value of the property and must be dated within 12 months of the date construction is to commence. The sales price of any unit must include the value of the land </w:t>
      </w:r>
      <w:proofErr w:type="gramStart"/>
      <w:r w:rsidRPr="009E12A4">
        <w:rPr>
          <w:rFonts w:eastAsia="Times New Roman" w:cs="Arial"/>
        </w:rPr>
        <w:t>in order to</w:t>
      </w:r>
      <w:proofErr w:type="gramEnd"/>
      <w:r w:rsidRPr="009E12A4">
        <w:rPr>
          <w:rFonts w:eastAsia="Times New Roman" w:cs="Arial"/>
        </w:rPr>
        <w:t xml:space="preserve"> qualify as eligible housing as defined in subsection (8). In the case of rehabilitation or emergency repair of an existing unit that does not create additional living space, sales price or value means the value of the real property, as determined by an appraisal performed by a state-certified </w:t>
      </w:r>
      <w:proofErr w:type="gramStart"/>
      <w:r w:rsidRPr="009E12A4">
        <w:rPr>
          <w:rFonts w:eastAsia="Times New Roman" w:cs="Arial"/>
        </w:rPr>
        <w:t>appraiser</w:t>
      </w:r>
      <w:proofErr w:type="gramEnd"/>
      <w:r w:rsidRPr="009E12A4">
        <w:rPr>
          <w:rFonts w:eastAsia="Times New Roman" w:cs="Arial"/>
        </w:rPr>
        <w:t xml:space="preserve"> and dated within 12 months of the date construction is to commence or the assessed value of the real property as determined by the county property appraiser. In the case of rehabilitation of an existing unit that includes the addition of new living space, sales price or value means the value of the real property, as determined by an appraisal performed by a state-certified </w:t>
      </w:r>
      <w:proofErr w:type="gramStart"/>
      <w:r w:rsidRPr="009E12A4">
        <w:rPr>
          <w:rFonts w:eastAsia="Times New Roman" w:cs="Arial"/>
        </w:rPr>
        <w:t>appraiser</w:t>
      </w:r>
      <w:proofErr w:type="gramEnd"/>
      <w:r w:rsidRPr="009E12A4">
        <w:rPr>
          <w:rFonts w:eastAsia="Times New Roman" w:cs="Arial"/>
        </w:rPr>
        <w:t xml:space="preserve"> and dated within 12 months of the date construction is to commence or the assessed value of the real property as determined by the county property appraiser, plus the cost of the improvements in either case.</w:t>
      </w:r>
    </w:p>
    <w:p w14:paraId="0674939C" w14:textId="414F8C9B" w:rsidR="0007244A" w:rsidRDefault="0007244A" w:rsidP="009E12A4">
      <w:pPr>
        <w:spacing w:after="0" w:line="240" w:lineRule="auto"/>
        <w:jc w:val="both"/>
        <w:rPr>
          <w:rFonts w:eastAsia="Times New Roman" w:cs="Arial"/>
        </w:rPr>
      </w:pPr>
    </w:p>
    <w:p w14:paraId="23D1F458" w14:textId="26AFE045" w:rsidR="0007244A" w:rsidRPr="006C6896" w:rsidRDefault="0007244A" w:rsidP="009E12A4">
      <w:pPr>
        <w:spacing w:after="0" w:line="240" w:lineRule="auto"/>
        <w:jc w:val="both"/>
        <w:rPr>
          <w:rFonts w:eastAsia="Times New Roman" w:cs="Arial"/>
          <w:b/>
          <w:bCs/>
        </w:rPr>
      </w:pPr>
      <w:r w:rsidRPr="006C6896">
        <w:rPr>
          <w:rFonts w:eastAsia="Times New Roman" w:cs="Arial"/>
          <w:b/>
          <w:bCs/>
        </w:rPr>
        <w:t>“Underwriting”</w:t>
      </w:r>
      <w:r w:rsidR="003E644B">
        <w:rPr>
          <w:rFonts w:eastAsia="Times New Roman" w:cs="Arial"/>
          <w:b/>
          <w:bCs/>
        </w:rPr>
        <w:t xml:space="preserve"> </w:t>
      </w:r>
      <w:r w:rsidR="003E644B" w:rsidRPr="003E644B">
        <w:rPr>
          <w:rFonts w:eastAsia="Times New Roman" w:cs="Arial"/>
        </w:rPr>
        <w:t>means</w:t>
      </w:r>
      <w:r w:rsidR="003E644B">
        <w:rPr>
          <w:rFonts w:eastAsia="Times New Roman" w:cs="Arial"/>
        </w:rPr>
        <w:t xml:space="preserve"> </w:t>
      </w:r>
      <w:r w:rsidR="003A49BF">
        <w:rPr>
          <w:rFonts w:eastAsia="Times New Roman" w:cs="Arial"/>
        </w:rPr>
        <w:t xml:space="preserve">the analysis of project assumptions and risks to ensure the project will </w:t>
      </w:r>
      <w:r w:rsidR="00024E74">
        <w:rPr>
          <w:rFonts w:eastAsia="Times New Roman" w:cs="Arial"/>
        </w:rPr>
        <w:t xml:space="preserve">be financially viable </w:t>
      </w:r>
      <w:r w:rsidR="00314AEA">
        <w:rPr>
          <w:rFonts w:eastAsia="Times New Roman" w:cs="Arial"/>
        </w:rPr>
        <w:t xml:space="preserve">throughout the affordability period. </w:t>
      </w:r>
      <w:r w:rsidR="00024E74">
        <w:rPr>
          <w:rFonts w:eastAsia="Times New Roman" w:cs="Arial"/>
        </w:rPr>
        <w:t>The analysis will determine of the amount of HOME funds are necessary to provide financially viable housing.</w:t>
      </w:r>
    </w:p>
    <w:p w14:paraId="06CF64FE" w14:textId="77777777" w:rsidR="00E80416" w:rsidRDefault="00E80416" w:rsidP="00E80416">
      <w:pPr>
        <w:spacing w:after="0" w:line="240" w:lineRule="auto"/>
        <w:jc w:val="both"/>
      </w:pPr>
    </w:p>
    <w:p w14:paraId="155F5120" w14:textId="4FF98695" w:rsidR="0007244A" w:rsidRDefault="009E12A4" w:rsidP="009E12A4">
      <w:pPr>
        <w:spacing w:after="0" w:line="240" w:lineRule="auto"/>
        <w:jc w:val="both"/>
      </w:pPr>
      <w:r>
        <w:t>“</w:t>
      </w:r>
      <w:r w:rsidRPr="009E12A4">
        <w:rPr>
          <w:b/>
        </w:rPr>
        <w:t>Very-low-income person</w:t>
      </w:r>
      <w:r>
        <w:t>” or “</w:t>
      </w:r>
      <w:r w:rsidRPr="009E12A4">
        <w:rPr>
          <w:b/>
        </w:rPr>
        <w:t>very-low-income household</w:t>
      </w:r>
      <w:r>
        <w:t xml:space="preserve">” means one or more natural persons or a family that has a total annual gross household income that does not exceed 50 percent of the median annual income adjusted for family size for households within the metropolitan statistical area, the county, or the nonmetropolitan median for the state, whichever is greatest. </w:t>
      </w:r>
    </w:p>
    <w:p w14:paraId="1A2CD048" w14:textId="77777777" w:rsidR="009E12A4" w:rsidRDefault="009E12A4" w:rsidP="009E12A4">
      <w:pPr>
        <w:spacing w:after="0" w:line="240" w:lineRule="auto"/>
        <w:jc w:val="both"/>
      </w:pPr>
    </w:p>
    <w:p w14:paraId="443F25C2" w14:textId="4BCDDB75" w:rsidR="009E12A4" w:rsidRPr="009E12A4" w:rsidRDefault="003A49BF" w:rsidP="009E12A4">
      <w:pPr>
        <w:spacing w:after="0" w:line="240" w:lineRule="auto"/>
        <w:jc w:val="both"/>
        <w:rPr>
          <w:b/>
        </w:rPr>
      </w:pPr>
      <w:r>
        <w:rPr>
          <w:b/>
        </w:rPr>
        <w:t>“</w:t>
      </w:r>
      <w:r w:rsidR="009E12A4" w:rsidRPr="009E12A4">
        <w:rPr>
          <w:b/>
        </w:rPr>
        <w:t>Funds Distribution</w:t>
      </w:r>
      <w:r>
        <w:rPr>
          <w:b/>
        </w:rPr>
        <w:t>”</w:t>
      </w:r>
    </w:p>
    <w:p w14:paraId="459867E1" w14:textId="77777777" w:rsidR="009E12A4" w:rsidRDefault="009E12A4" w:rsidP="009E12A4">
      <w:pPr>
        <w:spacing w:after="0" w:line="240" w:lineRule="auto"/>
        <w:jc w:val="both"/>
      </w:pPr>
      <w:r>
        <w:t>At least 30 percent of the funds deposited into the local housing assistance trust fund must be reserved for awards to very-low-income persons or eligible sponsors who will serve very-low-income persons and at least an additional 30 percent of the funds deposited into the local housing assistance trust fund must be reserved for awards to low-income persons or eligible sponsors who will serve low-income persons.</w:t>
      </w:r>
    </w:p>
    <w:p w14:paraId="02D60BDE" w14:textId="77777777" w:rsidR="009E12A4" w:rsidRDefault="009E12A4" w:rsidP="009E12A4">
      <w:pPr>
        <w:spacing w:after="0" w:line="240" w:lineRule="auto"/>
        <w:jc w:val="both"/>
      </w:pPr>
    </w:p>
    <w:p w14:paraId="6891F10E" w14:textId="76144310" w:rsidR="00927588" w:rsidRPr="00927588" w:rsidRDefault="003A49BF" w:rsidP="009E12A4">
      <w:pPr>
        <w:spacing w:after="0" w:line="240" w:lineRule="auto"/>
        <w:jc w:val="both"/>
        <w:rPr>
          <w:b/>
        </w:rPr>
      </w:pPr>
      <w:r>
        <w:rPr>
          <w:b/>
        </w:rPr>
        <w:t>“</w:t>
      </w:r>
      <w:r w:rsidR="00927588" w:rsidRPr="00927588">
        <w:rPr>
          <w:b/>
        </w:rPr>
        <w:t>Length of Loan Terms</w:t>
      </w:r>
      <w:r>
        <w:rPr>
          <w:b/>
        </w:rPr>
        <w:t>”</w:t>
      </w:r>
    </w:p>
    <w:p w14:paraId="41D982C6" w14:textId="77777777" w:rsidR="009E12A4" w:rsidRDefault="009E12A4" w:rsidP="009E12A4">
      <w:pPr>
        <w:spacing w:after="0" w:line="240" w:lineRule="auto"/>
        <w:jc w:val="both"/>
      </w:pPr>
      <w:r>
        <w:t xml:space="preserve">Loans shall be provided for periods not exceeding 30 years, except for deferred payment loans or loans that extend beyond 30 </w:t>
      </w:r>
      <w:r w:rsidR="00ED5CBC">
        <w:t>years, which</w:t>
      </w:r>
      <w:r>
        <w:t xml:space="preserve"> continue to serve eligible persons</w:t>
      </w:r>
      <w:r w:rsidR="00927588">
        <w:t>.</w:t>
      </w:r>
    </w:p>
    <w:p w14:paraId="62D37202" w14:textId="77777777" w:rsidR="003A49BF" w:rsidRDefault="003A49BF" w:rsidP="009E12A4">
      <w:pPr>
        <w:spacing w:after="0" w:line="240" w:lineRule="auto"/>
        <w:jc w:val="both"/>
      </w:pPr>
    </w:p>
    <w:p w14:paraId="11C5271A" w14:textId="2A04FBBC" w:rsidR="00927588" w:rsidRPr="00927588" w:rsidRDefault="003A49BF" w:rsidP="009E12A4">
      <w:pPr>
        <w:spacing w:after="0" w:line="240" w:lineRule="auto"/>
        <w:jc w:val="both"/>
        <w:rPr>
          <w:b/>
        </w:rPr>
      </w:pPr>
      <w:r>
        <w:rPr>
          <w:b/>
        </w:rPr>
        <w:t>“</w:t>
      </w:r>
      <w:r w:rsidR="00927588" w:rsidRPr="00927588">
        <w:rPr>
          <w:b/>
        </w:rPr>
        <w:t>Maximum Sales Price</w:t>
      </w:r>
      <w:r>
        <w:rPr>
          <w:b/>
        </w:rPr>
        <w:t>”</w:t>
      </w:r>
    </w:p>
    <w:p w14:paraId="5379C75E" w14:textId="31FBB8E5" w:rsidR="00927588" w:rsidRDefault="00927588" w:rsidP="00927588">
      <w:pPr>
        <w:spacing w:after="0" w:line="240" w:lineRule="auto"/>
        <w:jc w:val="both"/>
      </w:pPr>
      <w:r>
        <w:t>The maximum sales price or value per unit and the maximum award per unit for eligible housing benefiting from awards made pursuant to this section must be established in the local housing assistance plan.</w:t>
      </w:r>
      <w:r w:rsidR="00ED5CBC">
        <w:t xml:space="preserve"> </w:t>
      </w:r>
    </w:p>
    <w:p w14:paraId="20F1086D" w14:textId="59DD1244" w:rsidR="0007244A" w:rsidRDefault="0007244A" w:rsidP="00927588">
      <w:pPr>
        <w:spacing w:after="0" w:line="240" w:lineRule="auto"/>
        <w:jc w:val="both"/>
      </w:pPr>
    </w:p>
    <w:p w14:paraId="124F195C" w14:textId="211C5D95" w:rsidR="0007244A" w:rsidRPr="005C0BB2" w:rsidRDefault="0007244A" w:rsidP="0007244A">
      <w:pPr>
        <w:pStyle w:val="NoSpacing"/>
        <w:jc w:val="center"/>
        <w:rPr>
          <w:rFonts w:ascii="Arial" w:hAnsi="Arial" w:cs="Arial"/>
          <w:b/>
          <w:bCs/>
        </w:rPr>
      </w:pPr>
      <w:r>
        <w:rPr>
          <w:rFonts w:ascii="Arial" w:hAnsi="Arial" w:cs="Arial"/>
          <w:b/>
          <w:bCs/>
        </w:rPr>
        <w:t>202</w:t>
      </w:r>
      <w:r w:rsidR="000F142C">
        <w:rPr>
          <w:rFonts w:ascii="Arial" w:hAnsi="Arial" w:cs="Arial"/>
          <w:b/>
          <w:bCs/>
        </w:rPr>
        <w:t>1</w:t>
      </w:r>
      <w:r>
        <w:rPr>
          <w:rFonts w:ascii="Arial" w:hAnsi="Arial" w:cs="Arial"/>
          <w:b/>
          <w:bCs/>
        </w:rPr>
        <w:t xml:space="preserve"> </w:t>
      </w:r>
      <w:r w:rsidRPr="005C0BB2">
        <w:rPr>
          <w:rFonts w:ascii="Arial" w:hAnsi="Arial" w:cs="Arial"/>
          <w:b/>
          <w:bCs/>
        </w:rPr>
        <w:t>Maximum Purchase Price- Purchase Price Limit</w:t>
      </w:r>
    </w:p>
    <w:p w14:paraId="7F8C92CB" w14:textId="77777777" w:rsidR="0007244A" w:rsidRPr="005C0BB2" w:rsidRDefault="0007244A" w:rsidP="0007244A">
      <w:pPr>
        <w:pStyle w:val="NoSpacing"/>
        <w:jc w:val="center"/>
        <w:rPr>
          <w:rFonts w:ascii="Arial" w:hAnsi="Arial" w:cs="Arial"/>
          <w:b/>
          <w:bCs/>
        </w:rPr>
      </w:pPr>
      <w:r w:rsidRPr="005C0BB2">
        <w:rPr>
          <w:rFonts w:ascii="Arial" w:hAnsi="Arial" w:cs="Arial"/>
          <w:b/>
          <w:bCs/>
        </w:rPr>
        <w:t>Miami-Dade County</w:t>
      </w:r>
    </w:p>
    <w:tbl>
      <w:tblPr>
        <w:tblStyle w:val="TableGrid"/>
        <w:tblW w:w="0" w:type="auto"/>
        <w:tblLook w:val="04A0" w:firstRow="1" w:lastRow="0" w:firstColumn="1" w:lastColumn="0" w:noHBand="0" w:noVBand="1"/>
      </w:tblPr>
      <w:tblGrid>
        <w:gridCol w:w="2065"/>
        <w:gridCol w:w="1350"/>
        <w:gridCol w:w="1440"/>
        <w:gridCol w:w="1620"/>
        <w:gridCol w:w="1316"/>
        <w:gridCol w:w="1559"/>
      </w:tblGrid>
      <w:tr w:rsidR="0007244A" w14:paraId="1006C02B" w14:textId="77777777" w:rsidTr="00FA222D">
        <w:tc>
          <w:tcPr>
            <w:tcW w:w="2065" w:type="dxa"/>
          </w:tcPr>
          <w:p w14:paraId="4EE874AD" w14:textId="77777777" w:rsidR="0007244A" w:rsidRPr="00EA0275" w:rsidRDefault="0007244A" w:rsidP="002A519D">
            <w:pPr>
              <w:jc w:val="center"/>
              <w:rPr>
                <w:rFonts w:ascii="Arial" w:hAnsi="Arial" w:cs="Arial"/>
                <w:b/>
                <w:bCs/>
              </w:rPr>
            </w:pPr>
            <w:r w:rsidRPr="00EA0275">
              <w:rPr>
                <w:rFonts w:ascii="Arial" w:hAnsi="Arial" w:cs="Arial"/>
                <w:b/>
                <w:bCs/>
              </w:rPr>
              <w:t>Metropolitan Area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6D0DF4C" w14:textId="22B8BDA7" w:rsidR="0007244A" w:rsidRPr="00EA0275" w:rsidRDefault="0007244A" w:rsidP="002A519D">
            <w:pPr>
              <w:jc w:val="center"/>
              <w:rPr>
                <w:rFonts w:ascii="Arial" w:hAnsi="Arial" w:cs="Arial"/>
                <w:b/>
                <w:bCs/>
              </w:rPr>
            </w:pPr>
            <w:r w:rsidRPr="00EA0275">
              <w:rPr>
                <w:rFonts w:ascii="Arial" w:hAnsi="Arial" w:cs="Arial"/>
                <w:b/>
                <w:bCs/>
                <w:color w:val="000000"/>
              </w:rPr>
              <w:t>1-</w:t>
            </w:r>
            <w:r w:rsidR="00024E74">
              <w:rPr>
                <w:rFonts w:ascii="Arial" w:hAnsi="Arial" w:cs="Arial"/>
                <w:b/>
                <w:bCs/>
                <w:color w:val="000000"/>
              </w:rPr>
              <w:t>Bedroom</w:t>
            </w:r>
          </w:p>
        </w:tc>
        <w:tc>
          <w:tcPr>
            <w:tcW w:w="1440" w:type="dxa"/>
            <w:tcBorders>
              <w:top w:val="single" w:sz="4" w:space="0" w:color="auto"/>
              <w:left w:val="nil"/>
              <w:bottom w:val="single" w:sz="4" w:space="0" w:color="auto"/>
              <w:right w:val="single" w:sz="4" w:space="0" w:color="auto"/>
            </w:tcBorders>
            <w:shd w:val="clear" w:color="auto" w:fill="auto"/>
            <w:vAlign w:val="bottom"/>
          </w:tcPr>
          <w:p w14:paraId="56134744" w14:textId="64D5A310" w:rsidR="0007244A" w:rsidRPr="00EA0275" w:rsidRDefault="0007244A" w:rsidP="002A519D">
            <w:pPr>
              <w:jc w:val="center"/>
              <w:rPr>
                <w:rFonts w:ascii="Arial" w:hAnsi="Arial" w:cs="Arial"/>
                <w:b/>
                <w:bCs/>
              </w:rPr>
            </w:pPr>
            <w:r w:rsidRPr="00EA0275">
              <w:rPr>
                <w:rFonts w:ascii="Arial" w:hAnsi="Arial" w:cs="Arial"/>
                <w:b/>
                <w:bCs/>
                <w:color w:val="000000"/>
              </w:rPr>
              <w:t>2-</w:t>
            </w:r>
            <w:r w:rsidR="00024E74">
              <w:rPr>
                <w:rFonts w:ascii="Arial" w:hAnsi="Arial" w:cs="Arial"/>
                <w:b/>
                <w:bCs/>
                <w:color w:val="000000"/>
              </w:rPr>
              <w:t>Bedroom</w:t>
            </w:r>
          </w:p>
        </w:tc>
        <w:tc>
          <w:tcPr>
            <w:tcW w:w="1620" w:type="dxa"/>
            <w:tcBorders>
              <w:top w:val="single" w:sz="4" w:space="0" w:color="auto"/>
              <w:left w:val="nil"/>
              <w:bottom w:val="single" w:sz="4" w:space="0" w:color="auto"/>
              <w:right w:val="single" w:sz="4" w:space="0" w:color="auto"/>
            </w:tcBorders>
            <w:shd w:val="clear" w:color="auto" w:fill="auto"/>
            <w:vAlign w:val="bottom"/>
          </w:tcPr>
          <w:p w14:paraId="3CA1E1AE" w14:textId="4AEAC230" w:rsidR="0007244A" w:rsidRPr="00EA0275" w:rsidRDefault="0007244A" w:rsidP="002A519D">
            <w:pPr>
              <w:jc w:val="center"/>
              <w:rPr>
                <w:rFonts w:ascii="Arial" w:hAnsi="Arial" w:cs="Arial"/>
                <w:b/>
                <w:bCs/>
              </w:rPr>
            </w:pPr>
            <w:r w:rsidRPr="00EA0275">
              <w:rPr>
                <w:rFonts w:ascii="Arial" w:hAnsi="Arial" w:cs="Arial"/>
                <w:b/>
                <w:bCs/>
                <w:color w:val="000000"/>
              </w:rPr>
              <w:t>3-</w:t>
            </w:r>
            <w:r w:rsidR="00024E74">
              <w:rPr>
                <w:rFonts w:ascii="Arial" w:hAnsi="Arial" w:cs="Arial"/>
                <w:b/>
                <w:bCs/>
                <w:color w:val="000000"/>
              </w:rPr>
              <w:t>Bedroom</w:t>
            </w:r>
          </w:p>
        </w:tc>
        <w:tc>
          <w:tcPr>
            <w:tcW w:w="1316" w:type="dxa"/>
            <w:tcBorders>
              <w:top w:val="single" w:sz="4" w:space="0" w:color="auto"/>
              <w:left w:val="nil"/>
              <w:bottom w:val="single" w:sz="4" w:space="0" w:color="auto"/>
              <w:right w:val="single" w:sz="4" w:space="0" w:color="auto"/>
            </w:tcBorders>
            <w:shd w:val="clear" w:color="auto" w:fill="auto"/>
            <w:vAlign w:val="bottom"/>
          </w:tcPr>
          <w:p w14:paraId="295BB238" w14:textId="1018A229" w:rsidR="0007244A" w:rsidRPr="00EA0275" w:rsidRDefault="0007244A" w:rsidP="002A519D">
            <w:pPr>
              <w:jc w:val="center"/>
              <w:rPr>
                <w:rFonts w:ascii="Arial" w:hAnsi="Arial" w:cs="Arial"/>
                <w:b/>
                <w:bCs/>
              </w:rPr>
            </w:pPr>
            <w:r w:rsidRPr="00EA0275">
              <w:rPr>
                <w:rFonts w:ascii="Arial" w:hAnsi="Arial" w:cs="Arial"/>
                <w:b/>
                <w:bCs/>
                <w:color w:val="000000"/>
              </w:rPr>
              <w:t>4-</w:t>
            </w:r>
            <w:r w:rsidR="00024E74">
              <w:rPr>
                <w:rFonts w:ascii="Arial" w:hAnsi="Arial" w:cs="Arial"/>
                <w:b/>
                <w:bCs/>
                <w:color w:val="000000"/>
              </w:rPr>
              <w:t>Bedroom</w:t>
            </w:r>
          </w:p>
        </w:tc>
        <w:tc>
          <w:tcPr>
            <w:tcW w:w="1559" w:type="dxa"/>
            <w:tcBorders>
              <w:top w:val="single" w:sz="4" w:space="0" w:color="auto"/>
              <w:left w:val="nil"/>
              <w:bottom w:val="single" w:sz="4" w:space="0" w:color="auto"/>
              <w:right w:val="single" w:sz="4" w:space="0" w:color="auto"/>
            </w:tcBorders>
            <w:shd w:val="clear" w:color="auto" w:fill="auto"/>
            <w:vAlign w:val="bottom"/>
          </w:tcPr>
          <w:p w14:paraId="3DD0D84C" w14:textId="77777777" w:rsidR="0007244A" w:rsidRPr="00EA0275" w:rsidRDefault="0007244A" w:rsidP="002A519D">
            <w:pPr>
              <w:jc w:val="center"/>
              <w:rPr>
                <w:rFonts w:ascii="Arial" w:hAnsi="Arial" w:cs="Arial"/>
                <w:b/>
                <w:bCs/>
              </w:rPr>
            </w:pPr>
            <w:r w:rsidRPr="00EA0275">
              <w:rPr>
                <w:rFonts w:ascii="Arial" w:hAnsi="Arial" w:cs="Arial"/>
                <w:b/>
                <w:bCs/>
                <w:color w:val="000000"/>
              </w:rPr>
              <w:t>Unadjusted Median Value</w:t>
            </w:r>
          </w:p>
        </w:tc>
      </w:tr>
      <w:tr w:rsidR="00FA222D" w14:paraId="4EBD24D8" w14:textId="77777777" w:rsidTr="00FA222D">
        <w:tc>
          <w:tcPr>
            <w:tcW w:w="2065" w:type="dxa"/>
          </w:tcPr>
          <w:p w14:paraId="6E06DBF4" w14:textId="02F7D723" w:rsidR="00FA222D" w:rsidRPr="00EA0275" w:rsidRDefault="00FA222D" w:rsidP="00FA222D">
            <w:pPr>
              <w:rPr>
                <w:rFonts w:ascii="Arial" w:hAnsi="Arial" w:cs="Arial"/>
                <w:b/>
                <w:bCs/>
              </w:rPr>
            </w:pPr>
            <w:r w:rsidRPr="00EA0275">
              <w:rPr>
                <w:rFonts w:ascii="Arial" w:hAnsi="Arial" w:cs="Arial"/>
                <w:b/>
                <w:bCs/>
                <w:sz w:val="18"/>
                <w:szCs w:val="18"/>
              </w:rPr>
              <w:t>Miami- Miami Beach-Kendall, FL HUD Metro FMR Area</w:t>
            </w:r>
          </w:p>
        </w:tc>
        <w:tc>
          <w:tcPr>
            <w:tcW w:w="1350" w:type="dxa"/>
            <w:tcBorders>
              <w:top w:val="single" w:sz="4" w:space="0" w:color="auto"/>
              <w:left w:val="nil"/>
              <w:bottom w:val="single" w:sz="4" w:space="0" w:color="auto"/>
              <w:right w:val="single" w:sz="4" w:space="0" w:color="auto"/>
            </w:tcBorders>
            <w:shd w:val="clear" w:color="auto" w:fill="auto"/>
            <w:vAlign w:val="bottom"/>
          </w:tcPr>
          <w:p w14:paraId="18311189" w14:textId="45C3B557" w:rsidR="00FA222D" w:rsidRPr="00083B2A" w:rsidRDefault="00FA222D" w:rsidP="00FA222D">
            <w:pPr>
              <w:jc w:val="center"/>
              <w:rPr>
                <w:rFonts w:ascii="Arial" w:hAnsi="Arial" w:cs="Arial"/>
                <w:b/>
                <w:bCs/>
                <w:sz w:val="20"/>
                <w:szCs w:val="20"/>
              </w:rPr>
            </w:pPr>
            <w:r>
              <w:rPr>
                <w:rFonts w:ascii="Calibri" w:hAnsi="Calibri" w:cs="Calibri"/>
              </w:rPr>
              <w:t>$318,000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D7A6BD8" w14:textId="001099A9" w:rsidR="00FA222D" w:rsidRPr="00083B2A" w:rsidRDefault="00FA222D" w:rsidP="00FA222D">
            <w:pPr>
              <w:jc w:val="center"/>
              <w:rPr>
                <w:rFonts w:ascii="Arial" w:hAnsi="Arial" w:cs="Arial"/>
                <w:b/>
                <w:bCs/>
                <w:sz w:val="20"/>
                <w:szCs w:val="20"/>
              </w:rPr>
            </w:pPr>
            <w:r>
              <w:rPr>
                <w:rFonts w:ascii="Calibri" w:hAnsi="Calibri" w:cs="Calibri"/>
              </w:rPr>
              <w:t>$407,000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C88045A" w14:textId="17E38DB6" w:rsidR="00FA222D" w:rsidRPr="00083B2A" w:rsidRDefault="00FA222D" w:rsidP="00FA222D">
            <w:pPr>
              <w:jc w:val="center"/>
              <w:rPr>
                <w:rFonts w:ascii="Arial" w:hAnsi="Arial" w:cs="Arial"/>
                <w:b/>
                <w:bCs/>
                <w:sz w:val="20"/>
                <w:szCs w:val="20"/>
              </w:rPr>
            </w:pPr>
            <w:r>
              <w:rPr>
                <w:rFonts w:ascii="Calibri" w:hAnsi="Calibri" w:cs="Calibri"/>
              </w:rPr>
              <w:t>$493,000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191BC418" w14:textId="0FC04421" w:rsidR="00FA222D" w:rsidRPr="00083B2A" w:rsidRDefault="00FA222D" w:rsidP="00FA222D">
            <w:pPr>
              <w:jc w:val="center"/>
              <w:rPr>
                <w:rFonts w:ascii="Arial" w:hAnsi="Arial" w:cs="Arial"/>
                <w:b/>
                <w:bCs/>
                <w:sz w:val="20"/>
                <w:szCs w:val="20"/>
              </w:rPr>
            </w:pPr>
            <w:r>
              <w:rPr>
                <w:rFonts w:ascii="Calibri" w:hAnsi="Calibri" w:cs="Calibri"/>
              </w:rPr>
              <w:t>$610,000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3E8690" w14:textId="5E027248" w:rsidR="00FA222D" w:rsidRPr="00083B2A" w:rsidRDefault="00FA222D" w:rsidP="00FA222D">
            <w:pPr>
              <w:jc w:val="center"/>
              <w:rPr>
                <w:rFonts w:ascii="Arial" w:hAnsi="Arial" w:cs="Arial"/>
                <w:b/>
                <w:bCs/>
                <w:sz w:val="20"/>
                <w:szCs w:val="20"/>
              </w:rPr>
            </w:pPr>
            <w:r>
              <w:rPr>
                <w:rFonts w:ascii="Calibri" w:hAnsi="Calibri" w:cs="Calibri"/>
              </w:rPr>
              <w:t>$334,500</w:t>
            </w:r>
          </w:p>
        </w:tc>
      </w:tr>
    </w:tbl>
    <w:p w14:paraId="11129E49" w14:textId="77777777" w:rsidR="0007244A" w:rsidRDefault="0007244A" w:rsidP="00927588">
      <w:pPr>
        <w:spacing w:after="0" w:line="240" w:lineRule="auto"/>
        <w:jc w:val="both"/>
      </w:pPr>
    </w:p>
    <w:p w14:paraId="01E24076" w14:textId="539E904A" w:rsidR="00927588" w:rsidRDefault="003A49BF" w:rsidP="00927588">
      <w:pPr>
        <w:spacing w:after="0" w:line="240" w:lineRule="auto"/>
        <w:jc w:val="both"/>
        <w:rPr>
          <w:b/>
          <w:bCs/>
        </w:rPr>
      </w:pPr>
      <w:r>
        <w:rPr>
          <w:b/>
          <w:bCs/>
        </w:rPr>
        <w:t>“</w:t>
      </w:r>
      <w:r w:rsidRPr="003A49BF">
        <w:rPr>
          <w:b/>
          <w:bCs/>
        </w:rPr>
        <w:t>Maximum Per-Unit Subsidy Limits</w:t>
      </w:r>
      <w:r>
        <w:rPr>
          <w:b/>
          <w:bCs/>
        </w:rPr>
        <w:t xml:space="preserve">” </w:t>
      </w:r>
      <w:r w:rsidRPr="00A61D06">
        <w:t>means that the amount of HOME funds that a Participating Jurisdiction may invest on a per-unit basis in affordable housing may never exceed the per-unit dollar limits for elevator-type projects that apply to the area in which the housing is located. These limits will vary by the number of bedrooms in a unit. The maximum per-unit subsidy limits for 2020 are the following:</w:t>
      </w:r>
    </w:p>
    <w:p w14:paraId="7BC79EE7" w14:textId="3428029F" w:rsidR="003A49BF" w:rsidRDefault="003A49BF" w:rsidP="00927588">
      <w:pPr>
        <w:spacing w:after="0" w:line="240" w:lineRule="auto"/>
        <w:jc w:val="both"/>
      </w:pPr>
    </w:p>
    <w:tbl>
      <w:tblPr>
        <w:tblStyle w:val="TableGrid"/>
        <w:tblW w:w="0" w:type="auto"/>
        <w:tblLook w:val="04A0" w:firstRow="1" w:lastRow="0" w:firstColumn="1" w:lastColumn="0" w:noHBand="0" w:noVBand="1"/>
      </w:tblPr>
      <w:tblGrid>
        <w:gridCol w:w="1870"/>
        <w:gridCol w:w="1870"/>
        <w:gridCol w:w="1870"/>
        <w:gridCol w:w="1870"/>
        <w:gridCol w:w="1870"/>
      </w:tblGrid>
      <w:tr w:rsidR="008B114D" w14:paraId="6805D570" w14:textId="77777777" w:rsidTr="008B114D">
        <w:tc>
          <w:tcPr>
            <w:tcW w:w="1870" w:type="dxa"/>
          </w:tcPr>
          <w:p w14:paraId="7A936892" w14:textId="00B650F2" w:rsidR="008B114D" w:rsidRPr="00EA0275" w:rsidRDefault="008B114D" w:rsidP="00927588">
            <w:pPr>
              <w:jc w:val="both"/>
              <w:rPr>
                <w:rFonts w:ascii="Arial" w:hAnsi="Arial" w:cs="Arial"/>
              </w:rPr>
            </w:pPr>
            <w:r w:rsidRPr="00EA0275">
              <w:rPr>
                <w:rFonts w:ascii="Arial" w:hAnsi="Arial" w:cs="Arial"/>
                <w:b/>
                <w:bCs/>
              </w:rPr>
              <w:t>Bedrooms</w:t>
            </w:r>
          </w:p>
        </w:tc>
        <w:tc>
          <w:tcPr>
            <w:tcW w:w="1870" w:type="dxa"/>
          </w:tcPr>
          <w:p w14:paraId="041FB396" w14:textId="264A8486" w:rsidR="008B114D" w:rsidRPr="00EA0275" w:rsidRDefault="008B114D" w:rsidP="00927588">
            <w:pPr>
              <w:jc w:val="both"/>
              <w:rPr>
                <w:rFonts w:ascii="Arial" w:hAnsi="Arial" w:cs="Arial"/>
              </w:rPr>
            </w:pPr>
            <w:r w:rsidRPr="00EA0275">
              <w:rPr>
                <w:rFonts w:ascii="Arial" w:hAnsi="Arial" w:cs="Arial"/>
                <w:b/>
                <w:bCs/>
              </w:rPr>
              <w:t>Non-elevator</w:t>
            </w:r>
          </w:p>
        </w:tc>
        <w:tc>
          <w:tcPr>
            <w:tcW w:w="1870" w:type="dxa"/>
          </w:tcPr>
          <w:p w14:paraId="4F392F6C" w14:textId="4B53B26B" w:rsidR="008B114D" w:rsidRPr="00EA0275" w:rsidRDefault="008B114D" w:rsidP="00EA0275">
            <w:pPr>
              <w:pStyle w:val="NoSpacing"/>
              <w:rPr>
                <w:rFonts w:ascii="Arial" w:hAnsi="Arial" w:cs="Arial"/>
                <w:b/>
                <w:bCs/>
              </w:rPr>
            </w:pPr>
            <w:r w:rsidRPr="00EA0275">
              <w:rPr>
                <w:rFonts w:ascii="Arial" w:hAnsi="Arial" w:cs="Arial"/>
                <w:b/>
                <w:bCs/>
              </w:rPr>
              <w:t>Maximum</w:t>
            </w:r>
            <w:r w:rsidR="00EA0275" w:rsidRPr="00EA0275">
              <w:rPr>
                <w:rFonts w:ascii="Arial" w:hAnsi="Arial" w:cs="Arial"/>
                <w:b/>
                <w:bCs/>
              </w:rPr>
              <w:t xml:space="preserve"> Per-Unit </w:t>
            </w:r>
            <w:r w:rsidRPr="00EA0275">
              <w:rPr>
                <w:rFonts w:ascii="Arial" w:hAnsi="Arial" w:cs="Arial"/>
                <w:b/>
                <w:bCs/>
              </w:rPr>
              <w:t>Subsidy-Limit</w:t>
            </w:r>
          </w:p>
        </w:tc>
        <w:tc>
          <w:tcPr>
            <w:tcW w:w="1870" w:type="dxa"/>
          </w:tcPr>
          <w:p w14:paraId="5FDD2956" w14:textId="5AA6BAAD" w:rsidR="008B114D" w:rsidRPr="00EA0275" w:rsidRDefault="008B114D" w:rsidP="00927588">
            <w:pPr>
              <w:jc w:val="both"/>
              <w:rPr>
                <w:rFonts w:ascii="Arial" w:hAnsi="Arial" w:cs="Arial"/>
              </w:rPr>
            </w:pPr>
            <w:r w:rsidRPr="00EA0275">
              <w:rPr>
                <w:rFonts w:ascii="Arial" w:hAnsi="Arial" w:cs="Arial"/>
                <w:b/>
                <w:bCs/>
              </w:rPr>
              <w:t>Elevator</w:t>
            </w:r>
          </w:p>
        </w:tc>
        <w:tc>
          <w:tcPr>
            <w:tcW w:w="1870" w:type="dxa"/>
          </w:tcPr>
          <w:p w14:paraId="42879FAF" w14:textId="4B37E970" w:rsidR="008B114D" w:rsidRPr="00EA0275" w:rsidRDefault="008B114D" w:rsidP="00EA0275">
            <w:pPr>
              <w:pStyle w:val="NoSpacing"/>
              <w:rPr>
                <w:rFonts w:ascii="Arial" w:hAnsi="Arial" w:cs="Arial"/>
                <w:b/>
                <w:bCs/>
              </w:rPr>
            </w:pPr>
            <w:r w:rsidRPr="00EA0275">
              <w:rPr>
                <w:rFonts w:ascii="Arial" w:hAnsi="Arial" w:cs="Arial"/>
                <w:b/>
                <w:bCs/>
              </w:rPr>
              <w:t>Maximum Per-Unit Subsidy Limit</w:t>
            </w:r>
          </w:p>
        </w:tc>
      </w:tr>
      <w:tr w:rsidR="008B114D" w14:paraId="2FA51656" w14:textId="77777777" w:rsidTr="008B114D">
        <w:tc>
          <w:tcPr>
            <w:tcW w:w="1870" w:type="dxa"/>
          </w:tcPr>
          <w:p w14:paraId="42DA13DC" w14:textId="3B034EF2" w:rsidR="008B114D" w:rsidRDefault="008B114D" w:rsidP="00927588">
            <w:pPr>
              <w:jc w:val="both"/>
            </w:pPr>
            <w:r>
              <w:t>0</w:t>
            </w:r>
          </w:p>
        </w:tc>
        <w:tc>
          <w:tcPr>
            <w:tcW w:w="1870" w:type="dxa"/>
          </w:tcPr>
          <w:p w14:paraId="4338C786" w14:textId="690025C2" w:rsidR="008B114D" w:rsidRPr="00EA0275" w:rsidRDefault="008B114D" w:rsidP="00927588">
            <w:pPr>
              <w:jc w:val="both"/>
            </w:pPr>
            <w:r w:rsidRPr="00EA0275">
              <w:t>$60,702</w:t>
            </w:r>
          </w:p>
        </w:tc>
        <w:tc>
          <w:tcPr>
            <w:tcW w:w="1870" w:type="dxa"/>
          </w:tcPr>
          <w:p w14:paraId="744B2908" w14:textId="2913F81C" w:rsidR="008B114D" w:rsidRPr="00EA0275" w:rsidRDefault="008B114D" w:rsidP="00927588">
            <w:pPr>
              <w:jc w:val="both"/>
            </w:pPr>
            <w:r w:rsidRPr="00EA0275">
              <w:t xml:space="preserve">$145,684.80      </w:t>
            </w:r>
          </w:p>
        </w:tc>
        <w:tc>
          <w:tcPr>
            <w:tcW w:w="1870" w:type="dxa"/>
          </w:tcPr>
          <w:p w14:paraId="02721172" w14:textId="795AEECC" w:rsidR="008B114D" w:rsidRPr="00EA0275" w:rsidRDefault="008B114D" w:rsidP="00927588">
            <w:pPr>
              <w:jc w:val="both"/>
            </w:pPr>
            <w:r w:rsidRPr="00EA0275">
              <w:t>$63,881</w:t>
            </w:r>
          </w:p>
        </w:tc>
        <w:tc>
          <w:tcPr>
            <w:tcW w:w="1870" w:type="dxa"/>
          </w:tcPr>
          <w:p w14:paraId="6D13E780" w14:textId="744ECA64" w:rsidR="008B114D" w:rsidRPr="00EA0275" w:rsidRDefault="00387D7D" w:rsidP="00927588">
            <w:pPr>
              <w:jc w:val="both"/>
            </w:pPr>
            <w:r w:rsidRPr="00EA0275">
              <w:t>$153,314.40</w:t>
            </w:r>
          </w:p>
        </w:tc>
      </w:tr>
      <w:tr w:rsidR="008B114D" w14:paraId="2904CCD2" w14:textId="77777777" w:rsidTr="008B114D">
        <w:tc>
          <w:tcPr>
            <w:tcW w:w="1870" w:type="dxa"/>
          </w:tcPr>
          <w:p w14:paraId="6B569CF5" w14:textId="08F86AEA" w:rsidR="008B114D" w:rsidRDefault="008B114D" w:rsidP="00927588">
            <w:pPr>
              <w:jc w:val="both"/>
            </w:pPr>
            <w:r>
              <w:t>1</w:t>
            </w:r>
          </w:p>
        </w:tc>
        <w:tc>
          <w:tcPr>
            <w:tcW w:w="1870" w:type="dxa"/>
          </w:tcPr>
          <w:p w14:paraId="74D05A49" w14:textId="05E07050" w:rsidR="008B114D" w:rsidRPr="00EA0275" w:rsidRDefault="00387D7D" w:rsidP="00927588">
            <w:pPr>
              <w:jc w:val="both"/>
            </w:pPr>
            <w:r w:rsidRPr="00EA0275">
              <w:t>$</w:t>
            </w:r>
            <w:r w:rsidR="008B114D" w:rsidRPr="00EA0275">
              <w:t xml:space="preserve">69,991         </w:t>
            </w:r>
          </w:p>
        </w:tc>
        <w:tc>
          <w:tcPr>
            <w:tcW w:w="1870" w:type="dxa"/>
          </w:tcPr>
          <w:p w14:paraId="7824A950" w14:textId="3B80836B" w:rsidR="008B114D" w:rsidRPr="00EA0275" w:rsidRDefault="00387D7D" w:rsidP="00927588">
            <w:pPr>
              <w:jc w:val="both"/>
            </w:pPr>
            <w:r w:rsidRPr="00EA0275">
              <w:t>$167,978.40</w:t>
            </w:r>
          </w:p>
        </w:tc>
        <w:tc>
          <w:tcPr>
            <w:tcW w:w="1870" w:type="dxa"/>
          </w:tcPr>
          <w:p w14:paraId="31805993" w14:textId="773BD34A" w:rsidR="008B114D" w:rsidRPr="00EA0275" w:rsidRDefault="008B114D" w:rsidP="00927588">
            <w:pPr>
              <w:jc w:val="both"/>
            </w:pPr>
            <w:r w:rsidRPr="00EA0275">
              <w:t>73,230</w:t>
            </w:r>
          </w:p>
        </w:tc>
        <w:tc>
          <w:tcPr>
            <w:tcW w:w="1870" w:type="dxa"/>
          </w:tcPr>
          <w:p w14:paraId="23F92B74" w14:textId="081FBB71" w:rsidR="008B114D" w:rsidRPr="00EA0275" w:rsidRDefault="00387D7D" w:rsidP="00927588">
            <w:pPr>
              <w:jc w:val="both"/>
            </w:pPr>
            <w:r w:rsidRPr="00EA0275">
              <w:t>$175,752.00</w:t>
            </w:r>
          </w:p>
        </w:tc>
      </w:tr>
      <w:tr w:rsidR="00EA0275" w14:paraId="7793E774" w14:textId="77777777" w:rsidTr="000F5623">
        <w:tc>
          <w:tcPr>
            <w:tcW w:w="1870" w:type="dxa"/>
          </w:tcPr>
          <w:p w14:paraId="3832594C" w14:textId="3D2A540C" w:rsidR="00EA0275" w:rsidRDefault="00EA0275" w:rsidP="00EA0275">
            <w:pPr>
              <w:jc w:val="both"/>
            </w:pPr>
            <w:r>
              <w:t>2</w:t>
            </w:r>
          </w:p>
        </w:tc>
        <w:tc>
          <w:tcPr>
            <w:tcW w:w="1870" w:type="dxa"/>
          </w:tcPr>
          <w:p w14:paraId="7E989D9C" w14:textId="0E415082" w:rsidR="00EA0275" w:rsidRPr="00EA0275" w:rsidRDefault="00EA0275" w:rsidP="00EA0275">
            <w:pPr>
              <w:jc w:val="both"/>
            </w:pPr>
            <w:r w:rsidRPr="00EA0275">
              <w:t xml:space="preserve">$84,411         </w:t>
            </w:r>
          </w:p>
        </w:tc>
        <w:tc>
          <w:tcPr>
            <w:tcW w:w="1870" w:type="dxa"/>
            <w:tcBorders>
              <w:top w:val="nil"/>
              <w:left w:val="nil"/>
              <w:bottom w:val="single" w:sz="8" w:space="0" w:color="auto"/>
              <w:right w:val="single" w:sz="8" w:space="0" w:color="auto"/>
            </w:tcBorders>
            <w:shd w:val="clear" w:color="auto" w:fill="auto"/>
            <w:vAlign w:val="center"/>
          </w:tcPr>
          <w:p w14:paraId="3FE3642E" w14:textId="0AD914E8" w:rsidR="00EA0275" w:rsidRPr="00EA0275" w:rsidRDefault="00EA0275" w:rsidP="00EA0275">
            <w:pPr>
              <w:jc w:val="both"/>
            </w:pPr>
            <w:r w:rsidRPr="00EA0275">
              <w:rPr>
                <w:rFonts w:ascii="Calibri" w:hAnsi="Calibri" w:cs="Calibri"/>
                <w:color w:val="000000"/>
              </w:rPr>
              <w:t xml:space="preserve">$202,586.40 </w:t>
            </w:r>
          </w:p>
        </w:tc>
        <w:tc>
          <w:tcPr>
            <w:tcW w:w="1870" w:type="dxa"/>
          </w:tcPr>
          <w:p w14:paraId="118711F4" w14:textId="25EA9855" w:rsidR="00EA0275" w:rsidRPr="00EA0275" w:rsidRDefault="00EA0275" w:rsidP="00EA0275">
            <w:pPr>
              <w:jc w:val="both"/>
            </w:pPr>
            <w:r w:rsidRPr="00EA0275">
              <w:t>89,049</w:t>
            </w:r>
          </w:p>
        </w:tc>
        <w:tc>
          <w:tcPr>
            <w:tcW w:w="1870" w:type="dxa"/>
            <w:tcBorders>
              <w:top w:val="nil"/>
              <w:left w:val="nil"/>
              <w:bottom w:val="single" w:sz="8" w:space="0" w:color="auto"/>
              <w:right w:val="single" w:sz="8" w:space="0" w:color="auto"/>
            </w:tcBorders>
            <w:shd w:val="clear" w:color="auto" w:fill="auto"/>
            <w:vAlign w:val="center"/>
          </w:tcPr>
          <w:p w14:paraId="05C87DEF" w14:textId="35DC680C" w:rsidR="00EA0275" w:rsidRPr="00EA0275" w:rsidRDefault="00EA0275" w:rsidP="00EA0275">
            <w:pPr>
              <w:jc w:val="both"/>
            </w:pPr>
            <w:r w:rsidRPr="00EA0275">
              <w:rPr>
                <w:rFonts w:ascii="Calibri" w:hAnsi="Calibri" w:cs="Calibri"/>
                <w:color w:val="000000"/>
              </w:rPr>
              <w:t xml:space="preserve"> $213,717.60 </w:t>
            </w:r>
          </w:p>
        </w:tc>
      </w:tr>
      <w:tr w:rsidR="00EA0275" w14:paraId="63948398" w14:textId="77777777" w:rsidTr="000F5623">
        <w:tc>
          <w:tcPr>
            <w:tcW w:w="1870" w:type="dxa"/>
          </w:tcPr>
          <w:p w14:paraId="00233EBC" w14:textId="1BE71D50" w:rsidR="00EA0275" w:rsidRDefault="00EA0275" w:rsidP="00EA0275">
            <w:pPr>
              <w:jc w:val="both"/>
            </w:pPr>
            <w:r>
              <w:t>3</w:t>
            </w:r>
          </w:p>
        </w:tc>
        <w:tc>
          <w:tcPr>
            <w:tcW w:w="1870" w:type="dxa"/>
          </w:tcPr>
          <w:p w14:paraId="632A73DB" w14:textId="7ABA3B7A" w:rsidR="00EA0275" w:rsidRPr="00EA0275" w:rsidRDefault="00EA0275" w:rsidP="00EA0275">
            <w:pPr>
              <w:jc w:val="both"/>
            </w:pPr>
            <w:r w:rsidRPr="00EA0275">
              <w:t xml:space="preserve">$108,050        </w:t>
            </w:r>
          </w:p>
        </w:tc>
        <w:tc>
          <w:tcPr>
            <w:tcW w:w="1870" w:type="dxa"/>
            <w:tcBorders>
              <w:top w:val="nil"/>
              <w:left w:val="nil"/>
              <w:bottom w:val="single" w:sz="8" w:space="0" w:color="auto"/>
              <w:right w:val="single" w:sz="8" w:space="0" w:color="auto"/>
            </w:tcBorders>
            <w:shd w:val="clear" w:color="auto" w:fill="auto"/>
            <w:vAlign w:val="center"/>
          </w:tcPr>
          <w:p w14:paraId="6EAB964A" w14:textId="4503BB75" w:rsidR="00EA0275" w:rsidRPr="00EA0275" w:rsidRDefault="00EA0275" w:rsidP="00EA0275">
            <w:pPr>
              <w:jc w:val="both"/>
            </w:pPr>
            <w:r w:rsidRPr="00EA0275">
              <w:rPr>
                <w:rFonts w:ascii="Calibri" w:hAnsi="Calibri" w:cs="Calibri"/>
                <w:color w:val="000000"/>
              </w:rPr>
              <w:t xml:space="preserve">$259,320.00 </w:t>
            </w:r>
          </w:p>
        </w:tc>
        <w:tc>
          <w:tcPr>
            <w:tcW w:w="1870" w:type="dxa"/>
          </w:tcPr>
          <w:p w14:paraId="47B1752A" w14:textId="78A02CAE" w:rsidR="00EA0275" w:rsidRPr="00EA0275" w:rsidRDefault="00EA0275" w:rsidP="00EA0275">
            <w:pPr>
              <w:jc w:val="both"/>
            </w:pPr>
            <w:r w:rsidRPr="00EA0275">
              <w:t>115,201</w:t>
            </w:r>
          </w:p>
        </w:tc>
        <w:tc>
          <w:tcPr>
            <w:tcW w:w="1870" w:type="dxa"/>
            <w:tcBorders>
              <w:top w:val="nil"/>
              <w:left w:val="nil"/>
              <w:bottom w:val="single" w:sz="8" w:space="0" w:color="auto"/>
              <w:right w:val="single" w:sz="8" w:space="0" w:color="auto"/>
            </w:tcBorders>
            <w:shd w:val="clear" w:color="auto" w:fill="auto"/>
            <w:vAlign w:val="center"/>
          </w:tcPr>
          <w:p w14:paraId="7DE8B5D4" w14:textId="639077F0" w:rsidR="00EA0275" w:rsidRPr="00EA0275" w:rsidRDefault="00EA0275" w:rsidP="00EA0275">
            <w:pPr>
              <w:jc w:val="both"/>
            </w:pPr>
            <w:r w:rsidRPr="00EA0275">
              <w:rPr>
                <w:rFonts w:ascii="Calibri" w:hAnsi="Calibri" w:cs="Calibri"/>
                <w:color w:val="000000"/>
              </w:rPr>
              <w:t xml:space="preserve"> $276,482.40 </w:t>
            </w:r>
          </w:p>
        </w:tc>
      </w:tr>
      <w:tr w:rsidR="00EA0275" w14:paraId="0A51520C" w14:textId="77777777" w:rsidTr="000F5623">
        <w:tc>
          <w:tcPr>
            <w:tcW w:w="1870" w:type="dxa"/>
          </w:tcPr>
          <w:p w14:paraId="16405C88" w14:textId="6CC5548C" w:rsidR="00EA0275" w:rsidRDefault="00EA0275" w:rsidP="00EA0275">
            <w:pPr>
              <w:jc w:val="both"/>
            </w:pPr>
            <w:r>
              <w:t>4</w:t>
            </w:r>
          </w:p>
        </w:tc>
        <w:tc>
          <w:tcPr>
            <w:tcW w:w="1870" w:type="dxa"/>
          </w:tcPr>
          <w:p w14:paraId="3E2A9BDB" w14:textId="5588B69F" w:rsidR="00EA0275" w:rsidRPr="00EA0275" w:rsidRDefault="00EA0275" w:rsidP="00EA0275">
            <w:pPr>
              <w:jc w:val="both"/>
            </w:pPr>
            <w:r w:rsidRPr="00EA0275">
              <w:t xml:space="preserve">$120,372       </w:t>
            </w:r>
          </w:p>
        </w:tc>
        <w:tc>
          <w:tcPr>
            <w:tcW w:w="1870" w:type="dxa"/>
            <w:tcBorders>
              <w:top w:val="nil"/>
              <w:left w:val="nil"/>
              <w:bottom w:val="single" w:sz="8" w:space="0" w:color="auto"/>
              <w:right w:val="single" w:sz="8" w:space="0" w:color="auto"/>
            </w:tcBorders>
            <w:shd w:val="clear" w:color="auto" w:fill="auto"/>
            <w:vAlign w:val="center"/>
          </w:tcPr>
          <w:p w14:paraId="03AA0138" w14:textId="3B3B53AB" w:rsidR="00EA0275" w:rsidRPr="00EA0275" w:rsidRDefault="00EA0275" w:rsidP="00EA0275">
            <w:pPr>
              <w:jc w:val="both"/>
            </w:pPr>
            <w:r w:rsidRPr="00EA0275">
              <w:rPr>
                <w:rFonts w:ascii="Calibri" w:hAnsi="Calibri" w:cs="Calibri"/>
                <w:color w:val="000000"/>
              </w:rPr>
              <w:t xml:space="preserve">$288,892.80 </w:t>
            </w:r>
          </w:p>
        </w:tc>
        <w:tc>
          <w:tcPr>
            <w:tcW w:w="1870" w:type="dxa"/>
          </w:tcPr>
          <w:p w14:paraId="2BFD80F6" w14:textId="4EFF6150" w:rsidR="00EA0275" w:rsidRPr="00EA0275" w:rsidRDefault="00EA0275" w:rsidP="00EA0275">
            <w:pPr>
              <w:jc w:val="both"/>
            </w:pPr>
            <w:r w:rsidRPr="00EA0275">
              <w:t>126,454</w:t>
            </w:r>
          </w:p>
        </w:tc>
        <w:tc>
          <w:tcPr>
            <w:tcW w:w="1870" w:type="dxa"/>
            <w:tcBorders>
              <w:top w:val="nil"/>
              <w:left w:val="nil"/>
              <w:bottom w:val="single" w:sz="8" w:space="0" w:color="auto"/>
              <w:right w:val="single" w:sz="8" w:space="0" w:color="auto"/>
            </w:tcBorders>
            <w:shd w:val="clear" w:color="auto" w:fill="auto"/>
            <w:vAlign w:val="center"/>
          </w:tcPr>
          <w:p w14:paraId="37491903" w14:textId="38561B63" w:rsidR="00EA0275" w:rsidRPr="00EA0275" w:rsidRDefault="00EA0275" w:rsidP="00EA0275">
            <w:pPr>
              <w:jc w:val="both"/>
            </w:pPr>
            <w:r w:rsidRPr="00EA0275">
              <w:rPr>
                <w:rFonts w:ascii="Calibri" w:hAnsi="Calibri" w:cs="Calibri"/>
                <w:color w:val="000000"/>
              </w:rPr>
              <w:t xml:space="preserve"> $303,489.60 </w:t>
            </w:r>
          </w:p>
        </w:tc>
      </w:tr>
    </w:tbl>
    <w:p w14:paraId="467B27BA" w14:textId="7DAFF783" w:rsidR="003A49BF" w:rsidRDefault="003A49BF" w:rsidP="00927588">
      <w:pPr>
        <w:spacing w:after="0" w:line="240" w:lineRule="auto"/>
        <w:jc w:val="both"/>
      </w:pPr>
    </w:p>
    <w:p w14:paraId="62B760D6" w14:textId="6B845CA7" w:rsidR="003A49BF" w:rsidRDefault="00A61D06" w:rsidP="00927588">
      <w:pPr>
        <w:spacing w:after="0" w:line="240" w:lineRule="auto"/>
        <w:jc w:val="both"/>
      </w:pPr>
      <w:r w:rsidRPr="00A61D06">
        <w:rPr>
          <w:b/>
          <w:bCs/>
        </w:rPr>
        <w:t>“</w:t>
      </w:r>
      <w:r w:rsidR="003A49BF" w:rsidRPr="00A61D06">
        <w:rPr>
          <w:b/>
          <w:bCs/>
        </w:rPr>
        <w:t>Written Agreement</w:t>
      </w:r>
      <w:r w:rsidRPr="00A61D06">
        <w:rPr>
          <w:b/>
          <w:bCs/>
        </w:rPr>
        <w:t>”</w:t>
      </w:r>
      <w:r>
        <w:t xml:space="preserve"> means that the loan documents, or written agreements must capture the project and financing terms that result from the underwriting process.</w:t>
      </w:r>
    </w:p>
    <w:p w14:paraId="407007ED" w14:textId="77777777" w:rsidR="003A49BF" w:rsidRDefault="003A49BF" w:rsidP="00927588">
      <w:pPr>
        <w:spacing w:after="0" w:line="240" w:lineRule="auto"/>
        <w:jc w:val="both"/>
      </w:pPr>
    </w:p>
    <w:p w14:paraId="5FCFA424" w14:textId="61AD5511" w:rsidR="00927588" w:rsidRPr="00927588" w:rsidRDefault="00927588" w:rsidP="00927588">
      <w:pPr>
        <w:spacing w:after="0" w:line="240" w:lineRule="auto"/>
        <w:jc w:val="both"/>
        <w:rPr>
          <w:b/>
        </w:rPr>
      </w:pPr>
      <w:r w:rsidRPr="00927588">
        <w:rPr>
          <w:b/>
        </w:rPr>
        <w:t xml:space="preserve">Reporting to </w:t>
      </w:r>
      <w:r w:rsidR="006C6896">
        <w:rPr>
          <w:b/>
        </w:rPr>
        <w:t>Florida Housing Finance Corporation for SHIP Program Funds</w:t>
      </w:r>
    </w:p>
    <w:p w14:paraId="5884DE7F" w14:textId="77777777" w:rsidR="0047763D" w:rsidRDefault="0047763D" w:rsidP="00927588">
      <w:pPr>
        <w:spacing w:after="0" w:line="240" w:lineRule="auto"/>
        <w:jc w:val="both"/>
      </w:pPr>
    </w:p>
    <w:p w14:paraId="3BD8D88A" w14:textId="0BBC7944" w:rsidR="00927588" w:rsidRDefault="00927588" w:rsidP="00927588">
      <w:pPr>
        <w:spacing w:after="0" w:line="240" w:lineRule="auto"/>
        <w:jc w:val="both"/>
      </w:pPr>
      <w:r>
        <w:t xml:space="preserve">Each county or eligible municipality shall submit to </w:t>
      </w:r>
      <w:r w:rsidR="006C6896">
        <w:t>Florida Housing Finance C</w:t>
      </w:r>
      <w:r>
        <w:t xml:space="preserve">orporation by September 15 of each year a report of its affordable housing programs and accomplishments through June 30 immediately preceding submittal of the report. The report shall be certified as accurate and complete by the local government’s chief elected official or his or her designee. Transmittal of the annual report by a </w:t>
      </w:r>
      <w:proofErr w:type="gramStart"/>
      <w:r>
        <w:t>county’s</w:t>
      </w:r>
      <w:proofErr w:type="gramEnd"/>
      <w:r>
        <w:t xml:space="preserve"> or eligible municipality’s chief elected official, or his or her designee, certifies that the local housing incentive strategies, or, if applicable, the local housing incentive plan, have been implemented or are in the process of being implemented pursuant to the adopted schedule for implementation. The report must </w:t>
      </w:r>
      <w:proofErr w:type="gramStart"/>
      <w:r>
        <w:t>include, but</w:t>
      </w:r>
      <w:proofErr w:type="gramEnd"/>
      <w:r>
        <w:t xml:space="preserve"> is not limited to: (a) The number of households served by income category, age, family size, and race, and data regarding any special needs populations such as farmworkers, homeless persons, persons with disabilities, and the elderly. Counties shall report this information separately for households served in the unincorporated area and each municipality within the county.</w:t>
      </w:r>
      <w:r w:rsidR="006C6896">
        <w:t xml:space="preserve"> </w:t>
      </w:r>
    </w:p>
    <w:p w14:paraId="201BCED8" w14:textId="65DAE878" w:rsidR="006C6896" w:rsidRDefault="006C6896" w:rsidP="00927588">
      <w:pPr>
        <w:spacing w:after="0" w:line="240" w:lineRule="auto"/>
        <w:jc w:val="both"/>
      </w:pPr>
    </w:p>
    <w:p w14:paraId="1A151FAF" w14:textId="790501A6" w:rsidR="006C6896" w:rsidRDefault="006C6896" w:rsidP="00927588">
      <w:pPr>
        <w:spacing w:after="0" w:line="240" w:lineRule="auto"/>
        <w:jc w:val="both"/>
        <w:rPr>
          <w:b/>
          <w:bCs/>
        </w:rPr>
      </w:pPr>
      <w:r w:rsidRPr="006C6896">
        <w:rPr>
          <w:b/>
          <w:bCs/>
        </w:rPr>
        <w:t>Reporting to U.S. Department of Housing and Urban Development for HOME Program Funds</w:t>
      </w:r>
    </w:p>
    <w:p w14:paraId="501D3664" w14:textId="67094986" w:rsidR="0047763D" w:rsidRDefault="0047763D" w:rsidP="00927588">
      <w:pPr>
        <w:spacing w:after="0" w:line="240" w:lineRule="auto"/>
        <w:jc w:val="both"/>
        <w:rPr>
          <w:b/>
          <w:bCs/>
        </w:rPr>
      </w:pPr>
    </w:p>
    <w:p w14:paraId="52DCF1D7" w14:textId="00C2F299" w:rsidR="003E644B" w:rsidRPr="003E644B" w:rsidRDefault="003E644B">
      <w:pPr>
        <w:spacing w:after="0" w:line="240" w:lineRule="auto"/>
        <w:jc w:val="both"/>
      </w:pPr>
      <w:r w:rsidRPr="003E644B">
        <w:t>Each Participating Jurisdiction must report on the HOME program funds awarded per household within 120 days of the completion of the activity via the Integrated Disbursement and Information System. The information entered will include the project address, number of units, beneficiary income level, etc. All information should accurately reflect data provided by the household in the applicant’s file and the loan documents.</w:t>
      </w:r>
    </w:p>
    <w:sectPr w:rsidR="003E644B" w:rsidRPr="003E64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7C94" w14:textId="77777777" w:rsidR="008B0CDE" w:rsidRDefault="008B0CDE" w:rsidP="002966C3">
      <w:pPr>
        <w:spacing w:after="0" w:line="240" w:lineRule="auto"/>
      </w:pPr>
      <w:r>
        <w:separator/>
      </w:r>
    </w:p>
  </w:endnote>
  <w:endnote w:type="continuationSeparator" w:id="0">
    <w:p w14:paraId="74A86321" w14:textId="77777777" w:rsidR="008B0CDE" w:rsidRDefault="008B0CDE" w:rsidP="002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D11106" w14:paraId="3C5A2AEC" w14:textId="77777777">
      <w:tc>
        <w:tcPr>
          <w:tcW w:w="918" w:type="dxa"/>
        </w:tcPr>
        <w:p w14:paraId="5F92BCD4" w14:textId="77777777" w:rsidR="00D11106" w:rsidRDefault="00D1110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D55CC" w:rsidRPr="00CD55C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B62E78F" w14:textId="288142C3" w:rsidR="00D11106" w:rsidRDefault="005B1FA6">
          <w:pPr>
            <w:pStyle w:val="Footer"/>
          </w:pPr>
          <w:r>
            <w:t>City of Miami Beach First-Time Homebuyer Program</w:t>
          </w:r>
          <w:r w:rsidR="0018473A">
            <w:t xml:space="preserve"> Effective Date June 1, 2021</w:t>
          </w:r>
        </w:p>
      </w:tc>
    </w:tr>
  </w:tbl>
  <w:p w14:paraId="6A2D6EA2" w14:textId="77777777" w:rsidR="00D11106" w:rsidRDefault="00D1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ACE7" w14:textId="77777777" w:rsidR="008B0CDE" w:rsidRDefault="008B0CDE" w:rsidP="002966C3">
      <w:pPr>
        <w:spacing w:after="0" w:line="240" w:lineRule="auto"/>
      </w:pPr>
      <w:r>
        <w:separator/>
      </w:r>
    </w:p>
  </w:footnote>
  <w:footnote w:type="continuationSeparator" w:id="0">
    <w:p w14:paraId="4A136218" w14:textId="77777777" w:rsidR="008B0CDE" w:rsidRDefault="008B0CDE" w:rsidP="0029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7A8"/>
    <w:multiLevelType w:val="hybridMultilevel"/>
    <w:tmpl w:val="C0CA97A0"/>
    <w:lvl w:ilvl="0" w:tplc="FED861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377768"/>
    <w:multiLevelType w:val="hybridMultilevel"/>
    <w:tmpl w:val="8B06F74A"/>
    <w:lvl w:ilvl="0" w:tplc="C3EE1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00BC9"/>
    <w:multiLevelType w:val="hybridMultilevel"/>
    <w:tmpl w:val="9A6A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10"/>
    <w:rsid w:val="0000107F"/>
    <w:rsid w:val="00024E74"/>
    <w:rsid w:val="00036A2A"/>
    <w:rsid w:val="00056715"/>
    <w:rsid w:val="00062AEB"/>
    <w:rsid w:val="0007244A"/>
    <w:rsid w:val="00083B2A"/>
    <w:rsid w:val="000E4A91"/>
    <w:rsid w:val="000F142C"/>
    <w:rsid w:val="0011040C"/>
    <w:rsid w:val="0018473A"/>
    <w:rsid w:val="00187099"/>
    <w:rsid w:val="001B4648"/>
    <w:rsid w:val="001B514E"/>
    <w:rsid w:val="001C377D"/>
    <w:rsid w:val="001E75A9"/>
    <w:rsid w:val="001F68FB"/>
    <w:rsid w:val="00204A03"/>
    <w:rsid w:val="00220EBF"/>
    <w:rsid w:val="00273976"/>
    <w:rsid w:val="0028228A"/>
    <w:rsid w:val="002966C3"/>
    <w:rsid w:val="00297ADF"/>
    <w:rsid w:val="002E69E2"/>
    <w:rsid w:val="00314AEA"/>
    <w:rsid w:val="003626DC"/>
    <w:rsid w:val="00387D7D"/>
    <w:rsid w:val="003A49BF"/>
    <w:rsid w:val="003E644B"/>
    <w:rsid w:val="0047763D"/>
    <w:rsid w:val="004A3E13"/>
    <w:rsid w:val="0050349D"/>
    <w:rsid w:val="00544849"/>
    <w:rsid w:val="005A5F20"/>
    <w:rsid w:val="005B1FA6"/>
    <w:rsid w:val="005C5E39"/>
    <w:rsid w:val="006C6896"/>
    <w:rsid w:val="006C7670"/>
    <w:rsid w:val="007577FF"/>
    <w:rsid w:val="00762A36"/>
    <w:rsid w:val="007802D7"/>
    <w:rsid w:val="00785D12"/>
    <w:rsid w:val="007D5E63"/>
    <w:rsid w:val="007F652C"/>
    <w:rsid w:val="00826D46"/>
    <w:rsid w:val="00846535"/>
    <w:rsid w:val="00857279"/>
    <w:rsid w:val="0089393D"/>
    <w:rsid w:val="008A1836"/>
    <w:rsid w:val="008A2F01"/>
    <w:rsid w:val="008B002E"/>
    <w:rsid w:val="008B0CDE"/>
    <w:rsid w:val="008B114D"/>
    <w:rsid w:val="008D0843"/>
    <w:rsid w:val="008D706B"/>
    <w:rsid w:val="00927588"/>
    <w:rsid w:val="00980759"/>
    <w:rsid w:val="00987E8D"/>
    <w:rsid w:val="0099760B"/>
    <w:rsid w:val="009A7638"/>
    <w:rsid w:val="009E12A4"/>
    <w:rsid w:val="00A075CA"/>
    <w:rsid w:val="00A222F3"/>
    <w:rsid w:val="00A61D06"/>
    <w:rsid w:val="00A81733"/>
    <w:rsid w:val="00A946B9"/>
    <w:rsid w:val="00B03424"/>
    <w:rsid w:val="00B57750"/>
    <w:rsid w:val="00B90EBC"/>
    <w:rsid w:val="00B96B50"/>
    <w:rsid w:val="00C1250C"/>
    <w:rsid w:val="00C13D9C"/>
    <w:rsid w:val="00C737D0"/>
    <w:rsid w:val="00CD55CC"/>
    <w:rsid w:val="00D11106"/>
    <w:rsid w:val="00D12713"/>
    <w:rsid w:val="00D33F25"/>
    <w:rsid w:val="00D34FBB"/>
    <w:rsid w:val="00D649DD"/>
    <w:rsid w:val="00D77C46"/>
    <w:rsid w:val="00DA513A"/>
    <w:rsid w:val="00DD2299"/>
    <w:rsid w:val="00DD506F"/>
    <w:rsid w:val="00DD56B7"/>
    <w:rsid w:val="00DF4EFE"/>
    <w:rsid w:val="00E3343A"/>
    <w:rsid w:val="00E454D4"/>
    <w:rsid w:val="00E53C29"/>
    <w:rsid w:val="00E80416"/>
    <w:rsid w:val="00E90F76"/>
    <w:rsid w:val="00EA0275"/>
    <w:rsid w:val="00ED3D10"/>
    <w:rsid w:val="00ED5CBC"/>
    <w:rsid w:val="00F22FE9"/>
    <w:rsid w:val="00F6273E"/>
    <w:rsid w:val="00FA1E34"/>
    <w:rsid w:val="00FA222D"/>
    <w:rsid w:val="00FB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5B4F"/>
  <w15:docId w15:val="{BBA09613-B0F9-4226-8BAE-80B2B950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10"/>
    <w:rPr>
      <w:rFonts w:ascii="Tahoma" w:hAnsi="Tahoma" w:cs="Tahoma"/>
      <w:sz w:val="16"/>
      <w:szCs w:val="16"/>
    </w:rPr>
  </w:style>
  <w:style w:type="paragraph" w:styleId="ListParagraph">
    <w:name w:val="List Paragraph"/>
    <w:basedOn w:val="Normal"/>
    <w:uiPriority w:val="34"/>
    <w:qFormat/>
    <w:rsid w:val="00E53C29"/>
    <w:pPr>
      <w:ind w:left="720"/>
      <w:contextualSpacing/>
    </w:pPr>
  </w:style>
  <w:style w:type="character" w:styleId="Hyperlink">
    <w:name w:val="Hyperlink"/>
    <w:basedOn w:val="DefaultParagraphFont"/>
    <w:uiPriority w:val="99"/>
    <w:unhideWhenUsed/>
    <w:rsid w:val="005C5E39"/>
    <w:rPr>
      <w:color w:val="0000FF" w:themeColor="hyperlink"/>
      <w:u w:val="single"/>
    </w:rPr>
  </w:style>
  <w:style w:type="paragraph" w:customStyle="1" w:styleId="Default">
    <w:name w:val="Default"/>
    <w:rsid w:val="002739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C3"/>
  </w:style>
  <w:style w:type="paragraph" w:styleId="Footer">
    <w:name w:val="footer"/>
    <w:basedOn w:val="Normal"/>
    <w:link w:val="FooterChar"/>
    <w:uiPriority w:val="99"/>
    <w:unhideWhenUsed/>
    <w:rsid w:val="0029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C3"/>
  </w:style>
  <w:style w:type="table" w:styleId="TableGrid">
    <w:name w:val="Table Grid"/>
    <w:basedOn w:val="TableNormal"/>
    <w:uiPriority w:val="59"/>
    <w:rsid w:val="00FB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7244A"/>
    <w:pPr>
      <w:spacing w:after="0" w:line="240" w:lineRule="auto"/>
    </w:pPr>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31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3646">
      <w:bodyDiv w:val="1"/>
      <w:marLeft w:val="0"/>
      <w:marRight w:val="0"/>
      <w:marTop w:val="0"/>
      <w:marBottom w:val="0"/>
      <w:divBdr>
        <w:top w:val="none" w:sz="0" w:space="0" w:color="auto"/>
        <w:left w:val="none" w:sz="0" w:space="0" w:color="auto"/>
        <w:bottom w:val="none" w:sz="0" w:space="0" w:color="auto"/>
        <w:right w:val="none" w:sz="0" w:space="0" w:color="auto"/>
      </w:divBdr>
      <w:divsChild>
        <w:div w:id="1960918860">
          <w:marLeft w:val="0"/>
          <w:marRight w:val="0"/>
          <w:marTop w:val="0"/>
          <w:marBottom w:val="0"/>
          <w:divBdr>
            <w:top w:val="none" w:sz="0" w:space="0" w:color="auto"/>
            <w:left w:val="none" w:sz="0" w:space="0" w:color="auto"/>
            <w:bottom w:val="none" w:sz="0" w:space="0" w:color="auto"/>
            <w:right w:val="none" w:sz="0" w:space="0" w:color="auto"/>
          </w:divBdr>
        </w:div>
        <w:div w:id="1327974545">
          <w:marLeft w:val="0"/>
          <w:marRight w:val="0"/>
          <w:marTop w:val="0"/>
          <w:marBottom w:val="0"/>
          <w:divBdr>
            <w:top w:val="none" w:sz="0" w:space="0" w:color="auto"/>
            <w:left w:val="none" w:sz="0" w:space="0" w:color="auto"/>
            <w:bottom w:val="none" w:sz="0" w:space="0" w:color="auto"/>
            <w:right w:val="none" w:sz="0" w:space="0" w:color="auto"/>
          </w:divBdr>
        </w:div>
        <w:div w:id="176386374">
          <w:marLeft w:val="0"/>
          <w:marRight w:val="0"/>
          <w:marTop w:val="0"/>
          <w:marBottom w:val="0"/>
          <w:divBdr>
            <w:top w:val="none" w:sz="0" w:space="0" w:color="auto"/>
            <w:left w:val="none" w:sz="0" w:space="0" w:color="auto"/>
            <w:bottom w:val="none" w:sz="0" w:space="0" w:color="auto"/>
            <w:right w:val="none" w:sz="0" w:space="0" w:color="auto"/>
          </w:divBdr>
        </w:div>
        <w:div w:id="1170561386">
          <w:marLeft w:val="0"/>
          <w:marRight w:val="0"/>
          <w:marTop w:val="0"/>
          <w:marBottom w:val="0"/>
          <w:divBdr>
            <w:top w:val="none" w:sz="0" w:space="0" w:color="auto"/>
            <w:left w:val="none" w:sz="0" w:space="0" w:color="auto"/>
            <w:bottom w:val="none" w:sz="0" w:space="0" w:color="auto"/>
            <w:right w:val="none" w:sz="0" w:space="0" w:color="auto"/>
          </w:divBdr>
        </w:div>
        <w:div w:id="1221210904">
          <w:marLeft w:val="0"/>
          <w:marRight w:val="0"/>
          <w:marTop w:val="0"/>
          <w:marBottom w:val="0"/>
          <w:divBdr>
            <w:top w:val="none" w:sz="0" w:space="0" w:color="auto"/>
            <w:left w:val="none" w:sz="0" w:space="0" w:color="auto"/>
            <w:bottom w:val="none" w:sz="0" w:space="0" w:color="auto"/>
            <w:right w:val="none" w:sz="0" w:space="0" w:color="auto"/>
          </w:divBdr>
        </w:div>
        <w:div w:id="685330711">
          <w:marLeft w:val="0"/>
          <w:marRight w:val="0"/>
          <w:marTop w:val="0"/>
          <w:marBottom w:val="0"/>
          <w:divBdr>
            <w:top w:val="none" w:sz="0" w:space="0" w:color="auto"/>
            <w:left w:val="none" w:sz="0" w:space="0" w:color="auto"/>
            <w:bottom w:val="none" w:sz="0" w:space="0" w:color="auto"/>
            <w:right w:val="none" w:sz="0" w:space="0" w:color="auto"/>
          </w:divBdr>
        </w:div>
        <w:div w:id="228225181">
          <w:marLeft w:val="0"/>
          <w:marRight w:val="0"/>
          <w:marTop w:val="0"/>
          <w:marBottom w:val="0"/>
          <w:divBdr>
            <w:top w:val="none" w:sz="0" w:space="0" w:color="auto"/>
            <w:left w:val="none" w:sz="0" w:space="0" w:color="auto"/>
            <w:bottom w:val="none" w:sz="0" w:space="0" w:color="auto"/>
            <w:right w:val="none" w:sz="0" w:space="0" w:color="auto"/>
          </w:divBdr>
        </w:div>
        <w:div w:id="1576088280">
          <w:marLeft w:val="0"/>
          <w:marRight w:val="0"/>
          <w:marTop w:val="0"/>
          <w:marBottom w:val="0"/>
          <w:divBdr>
            <w:top w:val="none" w:sz="0" w:space="0" w:color="auto"/>
            <w:left w:val="none" w:sz="0" w:space="0" w:color="auto"/>
            <w:bottom w:val="none" w:sz="0" w:space="0" w:color="auto"/>
            <w:right w:val="none" w:sz="0" w:space="0" w:color="auto"/>
          </w:divBdr>
        </w:div>
        <w:div w:id="838271359">
          <w:marLeft w:val="0"/>
          <w:marRight w:val="0"/>
          <w:marTop w:val="0"/>
          <w:marBottom w:val="0"/>
          <w:divBdr>
            <w:top w:val="none" w:sz="0" w:space="0" w:color="auto"/>
            <w:left w:val="none" w:sz="0" w:space="0" w:color="auto"/>
            <w:bottom w:val="none" w:sz="0" w:space="0" w:color="auto"/>
            <w:right w:val="none" w:sz="0" w:space="0" w:color="auto"/>
          </w:divBdr>
        </w:div>
        <w:div w:id="1526551272">
          <w:marLeft w:val="0"/>
          <w:marRight w:val="0"/>
          <w:marTop w:val="0"/>
          <w:marBottom w:val="0"/>
          <w:divBdr>
            <w:top w:val="none" w:sz="0" w:space="0" w:color="auto"/>
            <w:left w:val="none" w:sz="0" w:space="0" w:color="auto"/>
            <w:bottom w:val="none" w:sz="0" w:space="0" w:color="auto"/>
            <w:right w:val="none" w:sz="0" w:space="0" w:color="auto"/>
          </w:divBdr>
        </w:div>
        <w:div w:id="618729601">
          <w:marLeft w:val="0"/>
          <w:marRight w:val="0"/>
          <w:marTop w:val="0"/>
          <w:marBottom w:val="0"/>
          <w:divBdr>
            <w:top w:val="none" w:sz="0" w:space="0" w:color="auto"/>
            <w:left w:val="none" w:sz="0" w:space="0" w:color="auto"/>
            <w:bottom w:val="none" w:sz="0" w:space="0" w:color="auto"/>
            <w:right w:val="none" w:sz="0" w:space="0" w:color="auto"/>
          </w:divBdr>
        </w:div>
        <w:div w:id="989095485">
          <w:marLeft w:val="0"/>
          <w:marRight w:val="0"/>
          <w:marTop w:val="0"/>
          <w:marBottom w:val="0"/>
          <w:divBdr>
            <w:top w:val="none" w:sz="0" w:space="0" w:color="auto"/>
            <w:left w:val="none" w:sz="0" w:space="0" w:color="auto"/>
            <w:bottom w:val="none" w:sz="0" w:space="0" w:color="auto"/>
            <w:right w:val="none" w:sz="0" w:space="0" w:color="auto"/>
          </w:divBdr>
        </w:div>
        <w:div w:id="1329216302">
          <w:marLeft w:val="0"/>
          <w:marRight w:val="0"/>
          <w:marTop w:val="0"/>
          <w:marBottom w:val="0"/>
          <w:divBdr>
            <w:top w:val="none" w:sz="0" w:space="0" w:color="auto"/>
            <w:left w:val="none" w:sz="0" w:space="0" w:color="auto"/>
            <w:bottom w:val="none" w:sz="0" w:space="0" w:color="auto"/>
            <w:right w:val="none" w:sz="0" w:space="0" w:color="auto"/>
          </w:divBdr>
        </w:div>
        <w:div w:id="2049451758">
          <w:marLeft w:val="0"/>
          <w:marRight w:val="0"/>
          <w:marTop w:val="0"/>
          <w:marBottom w:val="0"/>
          <w:divBdr>
            <w:top w:val="none" w:sz="0" w:space="0" w:color="auto"/>
            <w:left w:val="none" w:sz="0" w:space="0" w:color="auto"/>
            <w:bottom w:val="none" w:sz="0" w:space="0" w:color="auto"/>
            <w:right w:val="none" w:sz="0" w:space="0" w:color="auto"/>
          </w:divBdr>
        </w:div>
        <w:div w:id="304436978">
          <w:marLeft w:val="0"/>
          <w:marRight w:val="0"/>
          <w:marTop w:val="0"/>
          <w:marBottom w:val="0"/>
          <w:divBdr>
            <w:top w:val="none" w:sz="0" w:space="0" w:color="auto"/>
            <w:left w:val="none" w:sz="0" w:space="0" w:color="auto"/>
            <w:bottom w:val="none" w:sz="0" w:space="0" w:color="auto"/>
            <w:right w:val="none" w:sz="0" w:space="0" w:color="auto"/>
          </w:divBdr>
        </w:div>
        <w:div w:id="795567443">
          <w:marLeft w:val="0"/>
          <w:marRight w:val="0"/>
          <w:marTop w:val="0"/>
          <w:marBottom w:val="0"/>
          <w:divBdr>
            <w:top w:val="none" w:sz="0" w:space="0" w:color="auto"/>
            <w:left w:val="none" w:sz="0" w:space="0" w:color="auto"/>
            <w:bottom w:val="none" w:sz="0" w:space="0" w:color="auto"/>
            <w:right w:val="none" w:sz="0" w:space="0" w:color="auto"/>
          </w:divBdr>
        </w:div>
        <w:div w:id="1121534903">
          <w:marLeft w:val="0"/>
          <w:marRight w:val="0"/>
          <w:marTop w:val="0"/>
          <w:marBottom w:val="0"/>
          <w:divBdr>
            <w:top w:val="none" w:sz="0" w:space="0" w:color="auto"/>
            <w:left w:val="none" w:sz="0" w:space="0" w:color="auto"/>
            <w:bottom w:val="none" w:sz="0" w:space="0" w:color="auto"/>
            <w:right w:val="none" w:sz="0" w:space="0" w:color="auto"/>
          </w:divBdr>
        </w:div>
        <w:div w:id="1465462280">
          <w:marLeft w:val="0"/>
          <w:marRight w:val="0"/>
          <w:marTop w:val="0"/>
          <w:marBottom w:val="0"/>
          <w:divBdr>
            <w:top w:val="none" w:sz="0" w:space="0" w:color="auto"/>
            <w:left w:val="none" w:sz="0" w:space="0" w:color="auto"/>
            <w:bottom w:val="none" w:sz="0" w:space="0" w:color="auto"/>
            <w:right w:val="none" w:sz="0" w:space="0" w:color="auto"/>
          </w:divBdr>
        </w:div>
        <w:div w:id="37049206">
          <w:marLeft w:val="0"/>
          <w:marRight w:val="0"/>
          <w:marTop w:val="0"/>
          <w:marBottom w:val="0"/>
          <w:divBdr>
            <w:top w:val="none" w:sz="0" w:space="0" w:color="auto"/>
            <w:left w:val="none" w:sz="0" w:space="0" w:color="auto"/>
            <w:bottom w:val="none" w:sz="0" w:space="0" w:color="auto"/>
            <w:right w:val="none" w:sz="0" w:space="0" w:color="auto"/>
          </w:divBdr>
        </w:div>
        <w:div w:id="1744403560">
          <w:marLeft w:val="0"/>
          <w:marRight w:val="0"/>
          <w:marTop w:val="0"/>
          <w:marBottom w:val="0"/>
          <w:divBdr>
            <w:top w:val="none" w:sz="0" w:space="0" w:color="auto"/>
            <w:left w:val="none" w:sz="0" w:space="0" w:color="auto"/>
            <w:bottom w:val="none" w:sz="0" w:space="0" w:color="auto"/>
            <w:right w:val="none" w:sz="0" w:space="0" w:color="auto"/>
          </w:divBdr>
        </w:div>
        <w:div w:id="1520507457">
          <w:marLeft w:val="0"/>
          <w:marRight w:val="0"/>
          <w:marTop w:val="0"/>
          <w:marBottom w:val="0"/>
          <w:divBdr>
            <w:top w:val="none" w:sz="0" w:space="0" w:color="auto"/>
            <w:left w:val="none" w:sz="0" w:space="0" w:color="auto"/>
            <w:bottom w:val="none" w:sz="0" w:space="0" w:color="auto"/>
            <w:right w:val="none" w:sz="0" w:space="0" w:color="auto"/>
          </w:divBdr>
        </w:div>
        <w:div w:id="1146051742">
          <w:marLeft w:val="0"/>
          <w:marRight w:val="0"/>
          <w:marTop w:val="0"/>
          <w:marBottom w:val="0"/>
          <w:divBdr>
            <w:top w:val="none" w:sz="0" w:space="0" w:color="auto"/>
            <w:left w:val="none" w:sz="0" w:space="0" w:color="auto"/>
            <w:bottom w:val="none" w:sz="0" w:space="0" w:color="auto"/>
            <w:right w:val="none" w:sz="0" w:space="0" w:color="auto"/>
          </w:divBdr>
        </w:div>
        <w:div w:id="856581415">
          <w:marLeft w:val="0"/>
          <w:marRight w:val="0"/>
          <w:marTop w:val="0"/>
          <w:marBottom w:val="0"/>
          <w:divBdr>
            <w:top w:val="none" w:sz="0" w:space="0" w:color="auto"/>
            <w:left w:val="none" w:sz="0" w:space="0" w:color="auto"/>
            <w:bottom w:val="none" w:sz="0" w:space="0" w:color="auto"/>
            <w:right w:val="none" w:sz="0" w:space="0" w:color="auto"/>
          </w:divBdr>
        </w:div>
        <w:div w:id="786432558">
          <w:marLeft w:val="0"/>
          <w:marRight w:val="0"/>
          <w:marTop w:val="0"/>
          <w:marBottom w:val="0"/>
          <w:divBdr>
            <w:top w:val="none" w:sz="0" w:space="0" w:color="auto"/>
            <w:left w:val="none" w:sz="0" w:space="0" w:color="auto"/>
            <w:bottom w:val="none" w:sz="0" w:space="0" w:color="auto"/>
            <w:right w:val="none" w:sz="0" w:space="0" w:color="auto"/>
          </w:divBdr>
        </w:div>
        <w:div w:id="836531989">
          <w:marLeft w:val="0"/>
          <w:marRight w:val="0"/>
          <w:marTop w:val="0"/>
          <w:marBottom w:val="0"/>
          <w:divBdr>
            <w:top w:val="none" w:sz="0" w:space="0" w:color="auto"/>
            <w:left w:val="none" w:sz="0" w:space="0" w:color="auto"/>
            <w:bottom w:val="none" w:sz="0" w:space="0" w:color="auto"/>
            <w:right w:val="none" w:sz="0" w:space="0" w:color="auto"/>
          </w:divBdr>
        </w:div>
        <w:div w:id="15469349">
          <w:marLeft w:val="0"/>
          <w:marRight w:val="0"/>
          <w:marTop w:val="0"/>
          <w:marBottom w:val="0"/>
          <w:divBdr>
            <w:top w:val="none" w:sz="0" w:space="0" w:color="auto"/>
            <w:left w:val="none" w:sz="0" w:space="0" w:color="auto"/>
            <w:bottom w:val="none" w:sz="0" w:space="0" w:color="auto"/>
            <w:right w:val="none" w:sz="0" w:space="0" w:color="auto"/>
          </w:divBdr>
        </w:div>
        <w:div w:id="469055642">
          <w:marLeft w:val="0"/>
          <w:marRight w:val="0"/>
          <w:marTop w:val="0"/>
          <w:marBottom w:val="0"/>
          <w:divBdr>
            <w:top w:val="none" w:sz="0" w:space="0" w:color="auto"/>
            <w:left w:val="none" w:sz="0" w:space="0" w:color="auto"/>
            <w:bottom w:val="none" w:sz="0" w:space="0" w:color="auto"/>
            <w:right w:val="none" w:sz="0" w:space="0" w:color="auto"/>
          </w:divBdr>
        </w:div>
        <w:div w:id="199711405">
          <w:marLeft w:val="0"/>
          <w:marRight w:val="0"/>
          <w:marTop w:val="0"/>
          <w:marBottom w:val="0"/>
          <w:divBdr>
            <w:top w:val="none" w:sz="0" w:space="0" w:color="auto"/>
            <w:left w:val="none" w:sz="0" w:space="0" w:color="auto"/>
            <w:bottom w:val="none" w:sz="0" w:space="0" w:color="auto"/>
            <w:right w:val="none" w:sz="0" w:space="0" w:color="auto"/>
          </w:divBdr>
        </w:div>
        <w:div w:id="1221404078">
          <w:marLeft w:val="0"/>
          <w:marRight w:val="0"/>
          <w:marTop w:val="0"/>
          <w:marBottom w:val="0"/>
          <w:divBdr>
            <w:top w:val="none" w:sz="0" w:space="0" w:color="auto"/>
            <w:left w:val="none" w:sz="0" w:space="0" w:color="auto"/>
            <w:bottom w:val="none" w:sz="0" w:space="0" w:color="auto"/>
            <w:right w:val="none" w:sz="0" w:space="0" w:color="auto"/>
          </w:divBdr>
        </w:div>
        <w:div w:id="392000831">
          <w:marLeft w:val="0"/>
          <w:marRight w:val="0"/>
          <w:marTop w:val="0"/>
          <w:marBottom w:val="0"/>
          <w:divBdr>
            <w:top w:val="none" w:sz="0" w:space="0" w:color="auto"/>
            <w:left w:val="none" w:sz="0" w:space="0" w:color="auto"/>
            <w:bottom w:val="none" w:sz="0" w:space="0" w:color="auto"/>
            <w:right w:val="none" w:sz="0" w:space="0" w:color="auto"/>
          </w:divBdr>
        </w:div>
      </w:divsChild>
    </w:div>
    <w:div w:id="1052656416">
      <w:bodyDiv w:val="1"/>
      <w:marLeft w:val="0"/>
      <w:marRight w:val="0"/>
      <w:marTop w:val="0"/>
      <w:marBottom w:val="0"/>
      <w:divBdr>
        <w:top w:val="none" w:sz="0" w:space="0" w:color="auto"/>
        <w:left w:val="none" w:sz="0" w:space="0" w:color="auto"/>
        <w:bottom w:val="none" w:sz="0" w:space="0" w:color="auto"/>
        <w:right w:val="none" w:sz="0" w:space="0" w:color="auto"/>
      </w:divBdr>
    </w:div>
    <w:div w:id="12066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beachfl.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exchange.info" TargetMode="External"/><Relationship Id="rId5" Type="http://schemas.openxmlformats.org/officeDocument/2006/relationships/footnotes" Target="footnotes.xml"/><Relationship Id="rId10" Type="http://schemas.openxmlformats.org/officeDocument/2006/relationships/hyperlink" Target="http://www.floridahousing.org" TargetMode="External"/><Relationship Id="rId4" Type="http://schemas.openxmlformats.org/officeDocument/2006/relationships/webSettings" Target="webSettings.xml"/><Relationship Id="rId9" Type="http://schemas.openxmlformats.org/officeDocument/2006/relationships/hyperlink" Target="http://www.miamibeachf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Rubio, Marcela</cp:lastModifiedBy>
  <cp:revision>2</cp:revision>
  <cp:lastPrinted>2018-04-17T15:19:00Z</cp:lastPrinted>
  <dcterms:created xsi:type="dcterms:W3CDTF">2021-06-01T19:00:00Z</dcterms:created>
  <dcterms:modified xsi:type="dcterms:W3CDTF">2021-06-01T19:00:00Z</dcterms:modified>
</cp:coreProperties>
</file>